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2" w14:textId="2AE7AD8C" w:rsidR="00781DB6" w:rsidRDefault="00217602" w:rsidP="00940795">
      <w:pPr>
        <w:pStyle w:val="Heading1"/>
        <w:jc w:val="center"/>
      </w:pPr>
      <w:r>
        <w:t>Education for Social Justice (ESJ) Framework</w:t>
      </w:r>
    </w:p>
    <w:p w14:paraId="47F3C09F" w14:textId="580BFF1C" w:rsidR="006901DE" w:rsidRDefault="00217602">
      <w:r w:rsidRPr="00FF2684">
        <w:rPr>
          <w:sz w:val="22"/>
          <w:szCs w:val="22"/>
        </w:rPr>
        <w:t xml:space="preserve">In November 2019 London Met launched its new University </w:t>
      </w:r>
      <w:r w:rsidR="008C2009" w:rsidRPr="00FF2684">
        <w:rPr>
          <w:noProof/>
          <w:sz w:val="22"/>
          <w:szCs w:val="22"/>
        </w:rPr>
        <w:drawing>
          <wp:anchor distT="0" distB="0" distL="114300" distR="114300" simplePos="0" relativeHeight="251658240" behindDoc="0" locked="0" layoutInCell="1" allowOverlap="1" wp14:anchorId="28F3C682" wp14:editId="7DA9FC53">
            <wp:simplePos x="0" y="0"/>
            <wp:positionH relativeFrom="column">
              <wp:posOffset>4029075</wp:posOffset>
            </wp:positionH>
            <wp:positionV relativeFrom="paragraph">
              <wp:posOffset>-1905</wp:posOffset>
            </wp:positionV>
            <wp:extent cx="4648200" cy="4447540"/>
            <wp:effectExtent l="0" t="0" r="0" b="0"/>
            <wp:wrapSquare wrapText="bothSides"/>
            <wp:docPr id="2" name="Picture 2" descr="A picture containing text, circle, font,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ircle, font, screenshot&#10;&#10;Description automatically generated"/>
                    <pic:cNvPicPr/>
                  </pic:nvPicPr>
                  <pic:blipFill rotWithShape="1">
                    <a:blip r:embed="rId11">
                      <a:extLst>
                        <a:ext uri="{28A0092B-C50C-407E-A947-70E740481C1C}">
                          <a14:useLocalDpi xmlns:a14="http://schemas.microsoft.com/office/drawing/2010/main" val="0"/>
                        </a:ext>
                      </a:extLst>
                    </a:blip>
                    <a:srcRect l="19372" r="20796"/>
                    <a:stretch/>
                  </pic:blipFill>
                  <pic:spPr bwMode="auto">
                    <a:xfrm>
                      <a:off x="0" y="0"/>
                      <a:ext cx="4648200" cy="4447540"/>
                    </a:xfrm>
                    <a:prstGeom prst="rect">
                      <a:avLst/>
                    </a:prstGeom>
                    <a:ln>
                      <a:noFill/>
                    </a:ln>
                    <a:extLst>
                      <a:ext uri="{53640926-AAD7-44D8-BBD7-CCE9431645EC}">
                        <a14:shadowObscured xmlns:a14="http://schemas.microsoft.com/office/drawing/2010/main"/>
                      </a:ext>
                    </a:extLst>
                  </pic:spPr>
                </pic:pic>
              </a:graphicData>
            </a:graphic>
          </wp:anchor>
        </w:drawing>
      </w:r>
      <w:r w:rsidRPr="00FF2684">
        <w:rPr>
          <w:sz w:val="22"/>
          <w:szCs w:val="22"/>
        </w:rPr>
        <w:t>Strategy. It reaffirm</w:t>
      </w:r>
      <w:r w:rsidR="00FF4036">
        <w:rPr>
          <w:sz w:val="22"/>
          <w:szCs w:val="22"/>
        </w:rPr>
        <w:t>ed</w:t>
      </w:r>
      <w:r w:rsidRPr="00FF2684">
        <w:rPr>
          <w:sz w:val="22"/>
          <w:szCs w:val="22"/>
        </w:rPr>
        <w:t xml:space="preserve"> our position and</w:t>
      </w:r>
      <w:r>
        <w:t xml:space="preserve"> </w:t>
      </w:r>
      <w:r w:rsidRPr="00FF2684">
        <w:rPr>
          <w:sz w:val="22"/>
          <w:szCs w:val="22"/>
        </w:rPr>
        <w:t>commitment to social justice and social mobility</w:t>
      </w:r>
      <w:r w:rsidR="00FF4036">
        <w:rPr>
          <w:sz w:val="22"/>
          <w:szCs w:val="22"/>
        </w:rPr>
        <w:t xml:space="preserve"> as </w:t>
      </w:r>
      <w:r w:rsidRPr="00FF2684">
        <w:rPr>
          <w:sz w:val="22"/>
          <w:szCs w:val="22"/>
        </w:rPr>
        <w:t>an institution with a deep social purpose</w:t>
      </w:r>
      <w:r w:rsidR="00FF4036">
        <w:rPr>
          <w:sz w:val="22"/>
          <w:szCs w:val="22"/>
        </w:rPr>
        <w:t xml:space="preserve"> -- </w:t>
      </w:r>
      <w:r w:rsidRPr="00FF2684">
        <w:rPr>
          <w:sz w:val="22"/>
          <w:szCs w:val="22"/>
        </w:rPr>
        <w:t xml:space="preserve"> we are proud of the diversity of our students and of the positive contribution we make to London.</w:t>
      </w:r>
      <w:r>
        <w:t xml:space="preserve">  </w:t>
      </w:r>
    </w:p>
    <w:p w14:paraId="224814C5" w14:textId="4E69F2DD" w:rsidR="00FF2684" w:rsidRPr="00AA0EC9" w:rsidRDefault="00FF2684" w:rsidP="00FF2684">
      <w:pPr>
        <w:shd w:val="clear" w:color="auto" w:fill="FFFFFF"/>
        <w:spacing w:after="100" w:afterAutospacing="1"/>
        <w:rPr>
          <w:rFonts w:eastAsia="Times New Roman"/>
          <w:color w:val="231F20"/>
          <w:sz w:val="22"/>
          <w:szCs w:val="22"/>
          <w:lang w:eastAsia="en-GB"/>
        </w:rPr>
      </w:pPr>
      <w:r w:rsidRPr="00FF2684">
        <w:rPr>
          <w:rFonts w:eastAsia="Times New Roman"/>
          <w:color w:val="231F20"/>
          <w:sz w:val="22"/>
          <w:szCs w:val="22"/>
          <w:lang w:eastAsia="en-GB"/>
        </w:rPr>
        <w:t>The ESJ</w:t>
      </w:r>
      <w:r w:rsidRPr="00AA0EC9">
        <w:rPr>
          <w:rFonts w:eastAsia="Times New Roman"/>
          <w:color w:val="231F20"/>
          <w:sz w:val="22"/>
          <w:szCs w:val="22"/>
          <w:lang w:eastAsia="en-GB"/>
        </w:rPr>
        <w:t>F has been crafted by a group of 30 staff, students and the Students’ Union as a values-led framework which combines principles of inclusive pedagogy</w:t>
      </w:r>
      <w:r w:rsidR="009A5BD2">
        <w:rPr>
          <w:rFonts w:eastAsia="Times New Roman"/>
          <w:color w:val="231F20"/>
          <w:sz w:val="22"/>
          <w:szCs w:val="22"/>
          <w:lang w:eastAsia="en-GB"/>
        </w:rPr>
        <w:t>,</w:t>
      </w:r>
      <w:r w:rsidRPr="00AA0EC9">
        <w:rPr>
          <w:rFonts w:eastAsia="Times New Roman"/>
          <w:color w:val="231F20"/>
          <w:sz w:val="22"/>
          <w:szCs w:val="22"/>
          <w:lang w:eastAsia="en-GB"/>
        </w:rPr>
        <w:t xml:space="preserve"> with a values-based vision of a curriculum which reflects the mission of London Met. </w:t>
      </w:r>
    </w:p>
    <w:p w14:paraId="42518F06" w14:textId="53639643" w:rsidR="00FF2684" w:rsidRPr="00AA0EC9" w:rsidRDefault="00FF2684" w:rsidP="00FF2684">
      <w:pPr>
        <w:shd w:val="clear" w:color="auto" w:fill="FFFFFF"/>
        <w:spacing w:after="100" w:afterAutospacing="1"/>
        <w:rPr>
          <w:rFonts w:eastAsia="Times New Roman"/>
          <w:color w:val="231F20"/>
          <w:lang w:eastAsia="en-GB"/>
        </w:rPr>
      </w:pPr>
      <w:r w:rsidRPr="00AA0EC9">
        <w:rPr>
          <w:rFonts w:eastAsia="Times New Roman"/>
          <w:color w:val="231F20"/>
          <w:sz w:val="22"/>
          <w:szCs w:val="22"/>
          <w:lang w:eastAsia="en-GB"/>
        </w:rPr>
        <w:t>The Education for Social Justice Framework is in part a response to the challenge to eliminate continuation and awarding gaps. However, our overriding motivation to introduce the framework is because we believe our curricula and practice must align with principles of equity, with who our students are</w:t>
      </w:r>
      <w:r w:rsidR="009A5BD2">
        <w:rPr>
          <w:rFonts w:eastAsia="Times New Roman"/>
          <w:color w:val="231F20"/>
          <w:sz w:val="22"/>
          <w:szCs w:val="22"/>
          <w:lang w:eastAsia="en-GB"/>
        </w:rPr>
        <w:t xml:space="preserve"> </w:t>
      </w:r>
      <w:r w:rsidRPr="00AA0EC9">
        <w:rPr>
          <w:rFonts w:eastAsia="Times New Roman"/>
          <w:color w:val="231F20"/>
          <w:sz w:val="22"/>
          <w:szCs w:val="22"/>
          <w:lang w:eastAsia="en-GB"/>
        </w:rPr>
        <w:t>and the challenges facing London and its communities</w:t>
      </w:r>
      <w:r w:rsidRPr="00AA0EC9">
        <w:rPr>
          <w:rFonts w:eastAsia="Times New Roman"/>
          <w:color w:val="231F20"/>
          <w:lang w:eastAsia="en-GB"/>
        </w:rPr>
        <w:t>. </w:t>
      </w:r>
    </w:p>
    <w:p w14:paraId="1D4A1551" w14:textId="1F4B5D5E" w:rsidR="5144C77B" w:rsidRPr="005365BF" w:rsidRDefault="00217602" w:rsidP="005365BF">
      <w:pPr>
        <w:rPr>
          <w:sz w:val="22"/>
          <w:szCs w:val="22"/>
        </w:rPr>
      </w:pPr>
      <w:r w:rsidRPr="005365BF">
        <w:rPr>
          <w:sz w:val="22"/>
          <w:szCs w:val="22"/>
        </w:rPr>
        <w:t xml:space="preserve">The ESJ will encourage us to consider the impact of our choices in learning </w:t>
      </w:r>
      <w:r w:rsidR="005365BF">
        <w:rPr>
          <w:sz w:val="22"/>
          <w:szCs w:val="22"/>
        </w:rPr>
        <w:t>and teaching</w:t>
      </w:r>
      <w:r w:rsidRPr="005365BF">
        <w:rPr>
          <w:sz w:val="22"/>
          <w:szCs w:val="22"/>
        </w:rPr>
        <w:t>, it will also lead to the transformation of structures</w:t>
      </w:r>
      <w:r w:rsidR="005365BF">
        <w:rPr>
          <w:sz w:val="22"/>
          <w:szCs w:val="22"/>
        </w:rPr>
        <w:t xml:space="preserve"> – </w:t>
      </w:r>
      <w:r w:rsidRPr="005365BF">
        <w:rPr>
          <w:sz w:val="22"/>
          <w:szCs w:val="22"/>
        </w:rPr>
        <w:t xml:space="preserve"> so that every student can fulfil their potential</w:t>
      </w:r>
      <w:r>
        <w:t xml:space="preserve">.  </w:t>
      </w:r>
    </w:p>
    <w:p w14:paraId="50DB08C6" w14:textId="77777777" w:rsidR="00FC65BD" w:rsidRDefault="00FC65BD" w:rsidP="00FC65BD">
      <w:pPr>
        <w:rPr>
          <w:b/>
          <w:i/>
          <w:iCs/>
        </w:rPr>
      </w:pPr>
      <w:r w:rsidRPr="006901DE">
        <w:rPr>
          <w:b/>
          <w:i/>
          <w:iCs/>
        </w:rPr>
        <w:t xml:space="preserve">Below are selected aspects of the ESJF which we should make steps to incorporate into our teaching and learning. </w:t>
      </w:r>
    </w:p>
    <w:p w14:paraId="4C9DB3C5" w14:textId="7DEC8088" w:rsidR="005A7F28" w:rsidRDefault="005A7F28" w:rsidP="006B231E"/>
    <w:p w14:paraId="0000000C" w14:textId="0BB8F6F5" w:rsidR="00781DB6" w:rsidRPr="00846A27" w:rsidRDefault="00217602" w:rsidP="00846A27">
      <w:pPr>
        <w:pStyle w:val="Heading2"/>
      </w:pPr>
      <w:r>
        <w:t>Understanding and Applying the ESJ Framework in our Curricula</w:t>
      </w:r>
    </w:p>
    <w:tbl>
      <w:tblPr>
        <w:tblStyle w:val="7"/>
        <w:tblW w:w="14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20" w:firstRow="1" w:lastRow="0" w:firstColumn="0" w:lastColumn="0" w:noHBand="1" w:noVBand="1"/>
      </w:tblPr>
      <w:tblGrid>
        <w:gridCol w:w="2760"/>
        <w:gridCol w:w="11460"/>
      </w:tblGrid>
      <w:tr w:rsidR="00781DB6" w14:paraId="4C73310D" w14:textId="77777777" w:rsidTr="00FC65BD">
        <w:tc>
          <w:tcPr>
            <w:tcW w:w="14220" w:type="dxa"/>
            <w:gridSpan w:val="2"/>
            <w:shd w:val="clear" w:color="auto" w:fill="FDEADA"/>
          </w:tcPr>
          <w:p w14:paraId="0000000D" w14:textId="77777777" w:rsidR="00781DB6" w:rsidRDefault="00217602">
            <w:pPr>
              <w:pStyle w:val="Heading3"/>
              <w:jc w:val="center"/>
              <w:rPr>
                <w:rFonts w:ascii="Arial" w:eastAsia="Arial" w:hAnsi="Arial" w:cs="Arial"/>
              </w:rPr>
            </w:pPr>
            <w:r>
              <w:rPr>
                <w:rFonts w:ascii="Arial" w:eastAsia="Arial" w:hAnsi="Arial" w:cs="Arial"/>
              </w:rPr>
              <w:t>INCLUSIVE ASSESSMENT</w:t>
            </w:r>
          </w:p>
        </w:tc>
      </w:tr>
      <w:tr w:rsidR="00781DB6" w14:paraId="34BC0368" w14:textId="77777777" w:rsidTr="00FC65BD">
        <w:tc>
          <w:tcPr>
            <w:tcW w:w="14220" w:type="dxa"/>
            <w:gridSpan w:val="2"/>
            <w:shd w:val="clear" w:color="auto" w:fill="FDEADA"/>
          </w:tcPr>
          <w:p w14:paraId="0000000F" w14:textId="77777777" w:rsidR="00781DB6" w:rsidRDefault="00217602">
            <w:pPr>
              <w:spacing w:after="120"/>
              <w:rPr>
                <w:rFonts w:ascii="Arial" w:eastAsia="Arial" w:hAnsi="Arial" w:cs="Arial"/>
              </w:rPr>
            </w:pPr>
            <w:r>
              <w:rPr>
                <w:rFonts w:ascii="Arial" w:eastAsia="Arial" w:hAnsi="Arial" w:cs="Arial"/>
              </w:rPr>
              <w:t xml:space="preserve">As powerful drivers of learning, assessment and feedback are key means through which to engage our diverse students in processes that support their development, success and employability, while connecting with their own identities, experiences and cultural capital.  </w:t>
            </w:r>
          </w:p>
        </w:tc>
      </w:tr>
      <w:tr w:rsidR="00781DB6" w14:paraId="59E16CAB" w14:textId="77777777" w:rsidTr="00FC65BD">
        <w:tc>
          <w:tcPr>
            <w:tcW w:w="2760" w:type="dxa"/>
            <w:shd w:val="clear" w:color="auto" w:fill="FDEADA"/>
          </w:tcPr>
          <w:p w14:paraId="00000011" w14:textId="77777777" w:rsidR="00781DB6" w:rsidRDefault="00217602">
            <w:pPr>
              <w:spacing w:after="120"/>
              <w:rPr>
                <w:rFonts w:ascii="Arial" w:eastAsia="Arial" w:hAnsi="Arial" w:cs="Arial"/>
                <w:b/>
              </w:rPr>
            </w:pPr>
            <w:r>
              <w:rPr>
                <w:rFonts w:ascii="Arial" w:eastAsia="Arial" w:hAnsi="Arial" w:cs="Arial"/>
                <w:b/>
              </w:rPr>
              <w:t>Key Aspects</w:t>
            </w:r>
          </w:p>
        </w:tc>
        <w:tc>
          <w:tcPr>
            <w:tcW w:w="11460" w:type="dxa"/>
            <w:shd w:val="clear" w:color="auto" w:fill="FDEADA"/>
          </w:tcPr>
          <w:p w14:paraId="00000012" w14:textId="77777777" w:rsidR="00781DB6" w:rsidRDefault="00217602">
            <w:pPr>
              <w:spacing w:after="120"/>
              <w:rPr>
                <w:rFonts w:ascii="Arial" w:eastAsia="Arial" w:hAnsi="Arial" w:cs="Arial"/>
                <w:b/>
                <w:color w:val="CC0000"/>
              </w:rPr>
            </w:pPr>
            <w:r>
              <w:rPr>
                <w:rFonts w:ascii="Arial" w:eastAsia="Arial" w:hAnsi="Arial" w:cs="Arial"/>
                <w:b/>
                <w:color w:val="CC0000"/>
              </w:rPr>
              <w:t>Provide a brief statement, consider the points below (bullet points are to be deleted)</w:t>
            </w:r>
          </w:p>
        </w:tc>
      </w:tr>
      <w:tr w:rsidR="00781DB6" w14:paraId="3C489992" w14:textId="77777777" w:rsidTr="00FC65BD">
        <w:tc>
          <w:tcPr>
            <w:tcW w:w="2760" w:type="dxa"/>
            <w:shd w:val="clear" w:color="auto" w:fill="FDEADA"/>
          </w:tcPr>
          <w:p w14:paraId="00000013" w14:textId="77777777" w:rsidR="00781DB6" w:rsidRDefault="00217602">
            <w:pPr>
              <w:spacing w:after="120"/>
              <w:rPr>
                <w:rFonts w:ascii="Arial" w:eastAsia="Arial" w:hAnsi="Arial" w:cs="Arial"/>
                <w:b/>
              </w:rPr>
            </w:pPr>
            <w:r>
              <w:rPr>
                <w:rFonts w:ascii="Arial" w:eastAsia="Arial" w:hAnsi="Arial" w:cs="Arial"/>
                <w:b/>
              </w:rPr>
              <w:t>Student expectation and student voice</w:t>
            </w:r>
          </w:p>
        </w:tc>
        <w:tc>
          <w:tcPr>
            <w:tcW w:w="11460" w:type="dxa"/>
            <w:shd w:val="clear" w:color="auto" w:fill="FDEADA"/>
          </w:tcPr>
          <w:p w14:paraId="00000014" w14:textId="77777777" w:rsidR="00781DB6" w:rsidRDefault="00217602">
            <w:pPr>
              <w:numPr>
                <w:ilvl w:val="0"/>
                <w:numId w:val="7"/>
              </w:numPr>
              <w:rPr>
                <w:rFonts w:ascii="Arial" w:eastAsia="Arial" w:hAnsi="Arial" w:cs="Arial"/>
              </w:rPr>
            </w:pPr>
            <w:r>
              <w:rPr>
                <w:rFonts w:ascii="Arial" w:eastAsia="Arial" w:hAnsi="Arial" w:cs="Arial"/>
              </w:rPr>
              <w:t>how assignments reflect our student cohort</w:t>
            </w:r>
          </w:p>
          <w:p w14:paraId="00000015" w14:textId="77777777" w:rsidR="00781DB6" w:rsidRDefault="00217602">
            <w:pPr>
              <w:numPr>
                <w:ilvl w:val="0"/>
                <w:numId w:val="7"/>
              </w:numPr>
              <w:rPr>
                <w:rFonts w:ascii="Arial" w:eastAsia="Arial" w:hAnsi="Arial" w:cs="Arial"/>
              </w:rPr>
            </w:pPr>
            <w:r>
              <w:rPr>
                <w:rFonts w:ascii="Arial" w:eastAsia="Arial" w:hAnsi="Arial" w:cs="Arial"/>
              </w:rPr>
              <w:t>how students are involved in the review and design of assessment (co-creation)</w:t>
            </w:r>
          </w:p>
          <w:p w14:paraId="00000016" w14:textId="77777777" w:rsidR="00781DB6" w:rsidRDefault="00217602">
            <w:pPr>
              <w:numPr>
                <w:ilvl w:val="0"/>
                <w:numId w:val="7"/>
              </w:numPr>
              <w:spacing w:after="120"/>
              <w:rPr>
                <w:rFonts w:ascii="Arial" w:eastAsia="Arial" w:hAnsi="Arial" w:cs="Arial"/>
              </w:rPr>
            </w:pPr>
            <w:r>
              <w:rPr>
                <w:rFonts w:ascii="Arial" w:eastAsia="Arial" w:hAnsi="Arial" w:cs="Arial"/>
              </w:rPr>
              <w:t>what opportunities there are to celebrate milestones so as to reduce assessment anxiety and develop student confidence</w:t>
            </w:r>
          </w:p>
        </w:tc>
      </w:tr>
      <w:tr w:rsidR="00781DB6" w14:paraId="0656C95B" w14:textId="77777777" w:rsidTr="00FC65BD">
        <w:tc>
          <w:tcPr>
            <w:tcW w:w="2760" w:type="dxa"/>
            <w:shd w:val="clear" w:color="auto" w:fill="FDEADA"/>
          </w:tcPr>
          <w:p w14:paraId="00000017" w14:textId="77777777" w:rsidR="00781DB6" w:rsidRDefault="00217602">
            <w:pPr>
              <w:spacing w:after="120"/>
              <w:rPr>
                <w:rFonts w:ascii="Arial" w:eastAsia="Arial" w:hAnsi="Arial" w:cs="Arial"/>
                <w:b/>
              </w:rPr>
            </w:pPr>
            <w:r>
              <w:rPr>
                <w:rFonts w:ascii="Arial" w:eastAsia="Arial" w:hAnsi="Arial" w:cs="Arial"/>
                <w:b/>
              </w:rPr>
              <w:t>Purpose of assessment</w:t>
            </w:r>
          </w:p>
        </w:tc>
        <w:tc>
          <w:tcPr>
            <w:tcW w:w="11460" w:type="dxa"/>
            <w:shd w:val="clear" w:color="auto" w:fill="FDEADA"/>
          </w:tcPr>
          <w:p w14:paraId="00000018" w14:textId="77777777" w:rsidR="00781DB6" w:rsidRDefault="00217602">
            <w:pPr>
              <w:numPr>
                <w:ilvl w:val="0"/>
                <w:numId w:val="1"/>
              </w:numPr>
              <w:rPr>
                <w:rFonts w:ascii="Arial" w:eastAsia="Arial" w:hAnsi="Arial" w:cs="Arial"/>
              </w:rPr>
            </w:pPr>
            <w:r>
              <w:rPr>
                <w:rFonts w:ascii="Arial" w:eastAsia="Arial" w:hAnsi="Arial" w:cs="Arial"/>
              </w:rPr>
              <w:t xml:space="preserve">how are you facilitating students’ understanding of the assessment requirements and marking criteria </w:t>
            </w:r>
          </w:p>
          <w:p w14:paraId="00000019" w14:textId="77777777" w:rsidR="00781DB6" w:rsidRDefault="00217602">
            <w:pPr>
              <w:numPr>
                <w:ilvl w:val="0"/>
                <w:numId w:val="1"/>
              </w:numPr>
              <w:spacing w:after="120"/>
              <w:rPr>
                <w:rFonts w:ascii="Arial" w:eastAsia="Arial" w:hAnsi="Arial" w:cs="Arial"/>
              </w:rPr>
            </w:pPr>
            <w:r>
              <w:rPr>
                <w:rFonts w:ascii="Arial" w:eastAsia="Arial" w:hAnsi="Arial" w:cs="Arial"/>
              </w:rPr>
              <w:t>how does assessments contribute towards employability</w:t>
            </w:r>
          </w:p>
        </w:tc>
      </w:tr>
      <w:tr w:rsidR="00781DB6" w14:paraId="4A11C8D1" w14:textId="77777777" w:rsidTr="00FC65BD">
        <w:tc>
          <w:tcPr>
            <w:tcW w:w="2760" w:type="dxa"/>
            <w:shd w:val="clear" w:color="auto" w:fill="FDEADA"/>
          </w:tcPr>
          <w:p w14:paraId="0000001A" w14:textId="77777777" w:rsidR="00781DB6" w:rsidRDefault="00217602">
            <w:pPr>
              <w:spacing w:after="120"/>
              <w:rPr>
                <w:rFonts w:ascii="Arial" w:eastAsia="Arial" w:hAnsi="Arial" w:cs="Arial"/>
                <w:b/>
              </w:rPr>
            </w:pPr>
            <w:r>
              <w:rPr>
                <w:rFonts w:ascii="Arial" w:eastAsia="Arial" w:hAnsi="Arial" w:cs="Arial"/>
                <w:b/>
              </w:rPr>
              <w:t>Methods of assessment, fairness and inclusivity</w:t>
            </w:r>
          </w:p>
        </w:tc>
        <w:tc>
          <w:tcPr>
            <w:tcW w:w="11460" w:type="dxa"/>
            <w:shd w:val="clear" w:color="auto" w:fill="FDEADA"/>
          </w:tcPr>
          <w:p w14:paraId="0000001B" w14:textId="77777777" w:rsidR="00781DB6" w:rsidRDefault="00217602">
            <w:pPr>
              <w:numPr>
                <w:ilvl w:val="0"/>
                <w:numId w:val="16"/>
              </w:numPr>
              <w:rPr>
                <w:rFonts w:ascii="Arial" w:eastAsia="Arial" w:hAnsi="Arial" w:cs="Arial"/>
              </w:rPr>
            </w:pPr>
            <w:r>
              <w:rPr>
                <w:rFonts w:ascii="Arial" w:eastAsia="Arial" w:hAnsi="Arial" w:cs="Arial"/>
              </w:rPr>
              <w:t>is there a variety of assessment methods and how do these methods accommodate different learning styles</w:t>
            </w:r>
          </w:p>
          <w:p w14:paraId="0000001C" w14:textId="77777777" w:rsidR="00781DB6" w:rsidRDefault="00217602">
            <w:pPr>
              <w:numPr>
                <w:ilvl w:val="0"/>
                <w:numId w:val="16"/>
              </w:numPr>
              <w:spacing w:after="120"/>
              <w:rPr>
                <w:rFonts w:ascii="Arial" w:eastAsia="Arial" w:hAnsi="Arial" w:cs="Arial"/>
              </w:rPr>
            </w:pPr>
            <w:r>
              <w:rPr>
                <w:rFonts w:ascii="Arial" w:eastAsia="Arial" w:hAnsi="Arial" w:cs="Arial"/>
              </w:rPr>
              <w:t>Is there a balanced assessment load (vs over-assessment) and is there scope for continuous assessment, allowing space for students to catch up?</w:t>
            </w:r>
          </w:p>
        </w:tc>
      </w:tr>
      <w:tr w:rsidR="00781DB6" w14:paraId="11D9875D" w14:textId="77777777" w:rsidTr="00FC65BD">
        <w:tc>
          <w:tcPr>
            <w:tcW w:w="2760" w:type="dxa"/>
            <w:shd w:val="clear" w:color="auto" w:fill="FDEADA"/>
          </w:tcPr>
          <w:p w14:paraId="0000001D" w14:textId="77777777" w:rsidR="00781DB6" w:rsidRDefault="00217602">
            <w:pPr>
              <w:spacing w:after="120"/>
              <w:rPr>
                <w:rFonts w:ascii="Arial" w:eastAsia="Arial" w:hAnsi="Arial" w:cs="Arial"/>
                <w:b/>
              </w:rPr>
            </w:pPr>
            <w:r>
              <w:rPr>
                <w:rFonts w:ascii="Arial" w:eastAsia="Arial" w:hAnsi="Arial" w:cs="Arial"/>
                <w:b/>
              </w:rPr>
              <w:t>Accessibility of assessment</w:t>
            </w:r>
          </w:p>
        </w:tc>
        <w:tc>
          <w:tcPr>
            <w:tcW w:w="11460" w:type="dxa"/>
            <w:shd w:val="clear" w:color="auto" w:fill="FDEADA"/>
          </w:tcPr>
          <w:p w14:paraId="0000001E" w14:textId="77777777" w:rsidR="00781DB6" w:rsidRDefault="00217602">
            <w:pPr>
              <w:numPr>
                <w:ilvl w:val="0"/>
                <w:numId w:val="12"/>
              </w:numPr>
              <w:rPr>
                <w:rFonts w:ascii="Arial" w:eastAsia="Arial" w:hAnsi="Arial" w:cs="Arial"/>
              </w:rPr>
            </w:pPr>
            <w:r>
              <w:rPr>
                <w:rFonts w:ascii="Arial" w:eastAsia="Arial" w:hAnsi="Arial" w:cs="Arial"/>
              </w:rPr>
              <w:t>is there scope for flexibility / choice of methods within a particular assignment?</w:t>
            </w:r>
          </w:p>
          <w:p w14:paraId="0000001F" w14:textId="77777777" w:rsidR="00781DB6" w:rsidRDefault="00217602">
            <w:pPr>
              <w:numPr>
                <w:ilvl w:val="0"/>
                <w:numId w:val="12"/>
              </w:numPr>
              <w:spacing w:after="120"/>
              <w:rPr>
                <w:rFonts w:ascii="Arial" w:eastAsia="Arial" w:hAnsi="Arial" w:cs="Arial"/>
              </w:rPr>
            </w:pPr>
            <w:r>
              <w:rPr>
                <w:rFonts w:ascii="Arial" w:eastAsia="Arial" w:hAnsi="Arial" w:cs="Arial"/>
              </w:rPr>
              <w:t>how does the timing and sequencing, space and pace of assessment accommodate our student body</w:t>
            </w:r>
          </w:p>
        </w:tc>
      </w:tr>
      <w:tr w:rsidR="00781DB6" w14:paraId="43058EB5" w14:textId="77777777" w:rsidTr="00FC65BD">
        <w:tc>
          <w:tcPr>
            <w:tcW w:w="2760" w:type="dxa"/>
            <w:shd w:val="clear" w:color="auto" w:fill="FDEADA"/>
          </w:tcPr>
          <w:p w14:paraId="00000020" w14:textId="77777777" w:rsidR="00781DB6" w:rsidRDefault="00217602">
            <w:pPr>
              <w:spacing w:after="120"/>
              <w:rPr>
                <w:rFonts w:ascii="Arial" w:eastAsia="Arial" w:hAnsi="Arial" w:cs="Arial"/>
                <w:b/>
              </w:rPr>
            </w:pPr>
            <w:r>
              <w:rPr>
                <w:rFonts w:ascii="Arial" w:eastAsia="Arial" w:hAnsi="Arial" w:cs="Arial"/>
                <w:b/>
              </w:rPr>
              <w:t>Feedback on assessment</w:t>
            </w:r>
          </w:p>
        </w:tc>
        <w:tc>
          <w:tcPr>
            <w:tcW w:w="11460" w:type="dxa"/>
            <w:shd w:val="clear" w:color="auto" w:fill="FDEADA"/>
          </w:tcPr>
          <w:p w14:paraId="00000021" w14:textId="77777777" w:rsidR="00781DB6" w:rsidRDefault="00217602">
            <w:pPr>
              <w:numPr>
                <w:ilvl w:val="0"/>
                <w:numId w:val="8"/>
              </w:numPr>
              <w:rPr>
                <w:rFonts w:ascii="Arial" w:eastAsia="Arial" w:hAnsi="Arial" w:cs="Arial"/>
              </w:rPr>
            </w:pPr>
            <w:r>
              <w:rPr>
                <w:rFonts w:ascii="Arial" w:eastAsia="Arial" w:hAnsi="Arial" w:cs="Arial"/>
              </w:rPr>
              <w:t>what opportunities are there for developmental feedback?</w:t>
            </w:r>
          </w:p>
          <w:p w14:paraId="00000022" w14:textId="77777777" w:rsidR="00781DB6" w:rsidRDefault="00217602">
            <w:pPr>
              <w:numPr>
                <w:ilvl w:val="0"/>
                <w:numId w:val="8"/>
              </w:numPr>
              <w:spacing w:after="120"/>
              <w:rPr>
                <w:rFonts w:ascii="Arial" w:eastAsia="Arial" w:hAnsi="Arial" w:cs="Arial"/>
              </w:rPr>
            </w:pPr>
            <w:bookmarkStart w:id="0" w:name="_gjdgxs" w:colFirst="0" w:colLast="0"/>
            <w:bookmarkEnd w:id="0"/>
            <w:r>
              <w:rPr>
                <w:rFonts w:ascii="Arial" w:eastAsia="Arial" w:hAnsi="Arial" w:cs="Arial"/>
              </w:rPr>
              <w:t>when and how is feedback provided, is it timely enough to be of benefit to all students?</w:t>
            </w:r>
          </w:p>
        </w:tc>
      </w:tr>
    </w:tbl>
    <w:p w14:paraId="00000023" w14:textId="77777777" w:rsidR="00781DB6" w:rsidRDefault="00781DB6">
      <w:pPr>
        <w:spacing w:after="120" w:line="240" w:lineRule="auto"/>
        <w:rPr>
          <w:b/>
        </w:rPr>
      </w:pPr>
    </w:p>
    <w:tbl>
      <w:tblPr>
        <w:tblStyle w:val="6"/>
        <w:tblW w:w="14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2730"/>
        <w:gridCol w:w="11505"/>
      </w:tblGrid>
      <w:tr w:rsidR="00781DB6" w14:paraId="6AC81FB0" w14:textId="77777777" w:rsidTr="00FC65BD">
        <w:tc>
          <w:tcPr>
            <w:tcW w:w="14235" w:type="dxa"/>
            <w:gridSpan w:val="2"/>
            <w:shd w:val="clear" w:color="auto" w:fill="E5DFEC"/>
          </w:tcPr>
          <w:p w14:paraId="00000024" w14:textId="3D21D40F" w:rsidR="00781DB6" w:rsidRDefault="00217602">
            <w:pPr>
              <w:pStyle w:val="Heading3"/>
              <w:jc w:val="center"/>
              <w:rPr>
                <w:rFonts w:ascii="Arial" w:eastAsia="Arial" w:hAnsi="Arial" w:cs="Arial"/>
                <w:b w:val="0"/>
              </w:rPr>
            </w:pPr>
            <w:r>
              <w:rPr>
                <w:rFonts w:ascii="Arial" w:eastAsia="Arial" w:hAnsi="Arial" w:cs="Arial"/>
              </w:rPr>
              <w:t>INCLUSIVE LEADERSHIP</w:t>
            </w:r>
            <w:r w:rsidR="00632252">
              <w:rPr>
                <w:rFonts w:ascii="Arial" w:eastAsia="Arial" w:hAnsi="Arial" w:cs="Arial"/>
              </w:rPr>
              <w:t xml:space="preserve"> and GLOBAL CITIZENS</w:t>
            </w:r>
          </w:p>
        </w:tc>
      </w:tr>
      <w:tr w:rsidR="00781DB6" w14:paraId="5A47B313" w14:textId="77777777" w:rsidTr="00FC65BD">
        <w:tc>
          <w:tcPr>
            <w:tcW w:w="14235" w:type="dxa"/>
            <w:gridSpan w:val="2"/>
            <w:shd w:val="clear" w:color="auto" w:fill="E5DFEC"/>
          </w:tcPr>
          <w:p w14:paraId="00000026" w14:textId="77777777" w:rsidR="00781DB6" w:rsidRDefault="00217602">
            <w:pPr>
              <w:spacing w:after="120"/>
              <w:rPr>
                <w:rFonts w:ascii="Arial" w:eastAsia="Arial" w:hAnsi="Arial" w:cs="Arial"/>
                <w:i/>
              </w:rPr>
            </w:pPr>
            <w:r>
              <w:rPr>
                <w:rFonts w:ascii="Arial" w:eastAsia="Arial" w:hAnsi="Arial" w:cs="Arial"/>
              </w:rPr>
              <w:t xml:space="preserve">London Met seeks to </w:t>
            </w:r>
            <w:r>
              <w:rPr>
                <w:rFonts w:ascii="Arial" w:eastAsia="Arial" w:hAnsi="Arial" w:cs="Arial"/>
                <w:i/>
              </w:rPr>
              <w:t>“produce graduates who are inclusive in their own careers and practice, going on to become successful [inclusive] leaders across different sectors”</w:t>
            </w:r>
          </w:p>
        </w:tc>
      </w:tr>
      <w:tr w:rsidR="00781DB6" w14:paraId="34195F88" w14:textId="77777777" w:rsidTr="00FC65BD">
        <w:tc>
          <w:tcPr>
            <w:tcW w:w="2730" w:type="dxa"/>
            <w:shd w:val="clear" w:color="auto" w:fill="E5DFEC"/>
          </w:tcPr>
          <w:p w14:paraId="00000028" w14:textId="77777777" w:rsidR="00781DB6" w:rsidRDefault="00217602">
            <w:pPr>
              <w:spacing w:after="120"/>
              <w:rPr>
                <w:rFonts w:ascii="Arial" w:eastAsia="Arial" w:hAnsi="Arial" w:cs="Arial"/>
                <w:b/>
              </w:rPr>
            </w:pPr>
            <w:r>
              <w:rPr>
                <w:rFonts w:ascii="Arial" w:eastAsia="Arial" w:hAnsi="Arial" w:cs="Arial"/>
                <w:b/>
              </w:rPr>
              <w:t>Key Aspects</w:t>
            </w:r>
          </w:p>
        </w:tc>
        <w:tc>
          <w:tcPr>
            <w:tcW w:w="11505" w:type="dxa"/>
            <w:shd w:val="clear" w:color="auto" w:fill="E5DFEC"/>
          </w:tcPr>
          <w:p w14:paraId="00000029" w14:textId="77777777" w:rsidR="00781DB6" w:rsidRDefault="00217602">
            <w:pPr>
              <w:spacing w:after="120"/>
              <w:rPr>
                <w:rFonts w:ascii="Arial" w:eastAsia="Arial" w:hAnsi="Arial" w:cs="Arial"/>
                <w:b/>
                <w:color w:val="CC0000"/>
              </w:rPr>
            </w:pPr>
            <w:r>
              <w:rPr>
                <w:rFonts w:ascii="Arial" w:eastAsia="Arial" w:hAnsi="Arial" w:cs="Arial"/>
                <w:b/>
                <w:color w:val="CC0000"/>
              </w:rPr>
              <w:t>Provide a brief statement, consider the points below  (bullet points are to be deleted)</w:t>
            </w:r>
          </w:p>
        </w:tc>
      </w:tr>
      <w:tr w:rsidR="00781DB6" w14:paraId="0B200F4E" w14:textId="77777777" w:rsidTr="00FC65BD">
        <w:tc>
          <w:tcPr>
            <w:tcW w:w="2730" w:type="dxa"/>
            <w:shd w:val="clear" w:color="auto" w:fill="E5DFEC"/>
          </w:tcPr>
          <w:p w14:paraId="0000002A" w14:textId="77777777" w:rsidR="00781DB6" w:rsidRDefault="00217602">
            <w:pPr>
              <w:spacing w:after="120"/>
              <w:rPr>
                <w:rFonts w:ascii="Arial" w:eastAsia="Arial" w:hAnsi="Arial" w:cs="Arial"/>
                <w:b/>
              </w:rPr>
            </w:pPr>
            <w:r>
              <w:rPr>
                <w:rFonts w:ascii="Arial" w:eastAsia="Arial" w:hAnsi="Arial" w:cs="Arial"/>
                <w:b/>
              </w:rPr>
              <w:t>Concept of leadership</w:t>
            </w:r>
          </w:p>
        </w:tc>
        <w:tc>
          <w:tcPr>
            <w:tcW w:w="11505" w:type="dxa"/>
            <w:shd w:val="clear" w:color="auto" w:fill="E5DFEC"/>
          </w:tcPr>
          <w:p w14:paraId="0000002B" w14:textId="77777777" w:rsidR="00781DB6" w:rsidRDefault="00217602">
            <w:pPr>
              <w:numPr>
                <w:ilvl w:val="0"/>
                <w:numId w:val="18"/>
              </w:numPr>
              <w:rPr>
                <w:rFonts w:ascii="Arial" w:eastAsia="Arial" w:hAnsi="Arial" w:cs="Arial"/>
              </w:rPr>
            </w:pPr>
            <w:r>
              <w:rPr>
                <w:rFonts w:ascii="Arial" w:eastAsia="Arial" w:hAnsi="Arial" w:cs="Arial"/>
              </w:rPr>
              <w:t>what notions of leadership are explored in the course/discipline</w:t>
            </w:r>
          </w:p>
          <w:p w14:paraId="0000002C" w14:textId="77777777" w:rsidR="00781DB6" w:rsidRDefault="00217602">
            <w:pPr>
              <w:numPr>
                <w:ilvl w:val="0"/>
                <w:numId w:val="18"/>
              </w:numPr>
              <w:spacing w:after="120"/>
              <w:rPr>
                <w:rFonts w:ascii="Arial" w:eastAsia="Arial" w:hAnsi="Arial" w:cs="Arial"/>
              </w:rPr>
            </w:pPr>
            <w:r>
              <w:rPr>
                <w:rFonts w:ascii="Arial" w:eastAsia="Arial" w:hAnsi="Arial" w:cs="Arial"/>
              </w:rPr>
              <w:t>what opportunities are provided for our students to experience/study positive examples of leadership</w:t>
            </w:r>
          </w:p>
        </w:tc>
      </w:tr>
      <w:tr w:rsidR="00781DB6" w14:paraId="29D91FFB" w14:textId="77777777" w:rsidTr="00FC65BD">
        <w:tc>
          <w:tcPr>
            <w:tcW w:w="2730" w:type="dxa"/>
            <w:shd w:val="clear" w:color="auto" w:fill="E5DFEC"/>
          </w:tcPr>
          <w:p w14:paraId="0000002D" w14:textId="77777777" w:rsidR="00781DB6" w:rsidRDefault="00217602">
            <w:pPr>
              <w:spacing w:after="120"/>
              <w:rPr>
                <w:rFonts w:ascii="Arial" w:eastAsia="Arial" w:hAnsi="Arial" w:cs="Arial"/>
                <w:b/>
              </w:rPr>
            </w:pPr>
            <w:r>
              <w:rPr>
                <w:rFonts w:ascii="Arial" w:eastAsia="Arial" w:hAnsi="Arial" w:cs="Arial"/>
                <w:b/>
              </w:rPr>
              <w:lastRenderedPageBreak/>
              <w:t>Graduate Attributes and values</w:t>
            </w:r>
          </w:p>
        </w:tc>
        <w:tc>
          <w:tcPr>
            <w:tcW w:w="11505" w:type="dxa"/>
            <w:shd w:val="clear" w:color="auto" w:fill="E5DFEC"/>
          </w:tcPr>
          <w:p w14:paraId="0000002E" w14:textId="77777777" w:rsidR="00781DB6" w:rsidRDefault="00217602">
            <w:pPr>
              <w:numPr>
                <w:ilvl w:val="0"/>
                <w:numId w:val="3"/>
              </w:numPr>
              <w:rPr>
                <w:rFonts w:ascii="Arial" w:eastAsia="Arial" w:hAnsi="Arial" w:cs="Arial"/>
              </w:rPr>
            </w:pPr>
            <w:r>
              <w:rPr>
                <w:rFonts w:ascii="Arial" w:eastAsia="Arial" w:hAnsi="Arial" w:cs="Arial"/>
              </w:rPr>
              <w:t>how does the course help to develop our London Met Graduate Attribute</w:t>
            </w:r>
          </w:p>
          <w:p w14:paraId="0000002F" w14:textId="77777777" w:rsidR="00781DB6" w:rsidRDefault="00217602">
            <w:pPr>
              <w:numPr>
                <w:ilvl w:val="0"/>
                <w:numId w:val="3"/>
              </w:numPr>
              <w:spacing w:after="120"/>
              <w:rPr>
                <w:rFonts w:ascii="Arial" w:eastAsia="Arial" w:hAnsi="Arial" w:cs="Arial"/>
              </w:rPr>
            </w:pPr>
            <w:r>
              <w:rPr>
                <w:rFonts w:ascii="Arial" w:eastAsia="Arial" w:hAnsi="Arial" w:cs="Arial"/>
              </w:rPr>
              <w:t>what opportunities are created for students to explore “values” and critically reflect on their own, around issues of equality and discrimination</w:t>
            </w:r>
          </w:p>
        </w:tc>
      </w:tr>
      <w:tr w:rsidR="00781DB6" w14:paraId="30281ADF" w14:textId="77777777" w:rsidTr="00FC65BD">
        <w:tc>
          <w:tcPr>
            <w:tcW w:w="2730" w:type="dxa"/>
            <w:shd w:val="clear" w:color="auto" w:fill="E5DFEC"/>
          </w:tcPr>
          <w:p w14:paraId="00000030" w14:textId="77777777" w:rsidR="00781DB6" w:rsidRDefault="00217602">
            <w:pPr>
              <w:spacing w:after="120"/>
              <w:rPr>
                <w:rFonts w:ascii="Arial" w:eastAsia="Arial" w:hAnsi="Arial" w:cs="Arial"/>
                <w:b/>
              </w:rPr>
            </w:pPr>
            <w:r>
              <w:rPr>
                <w:rFonts w:ascii="Arial" w:eastAsia="Arial" w:hAnsi="Arial" w:cs="Arial"/>
                <w:b/>
              </w:rPr>
              <w:t>Curriculum embedding and linking with co/extra-curriculum</w:t>
            </w:r>
          </w:p>
        </w:tc>
        <w:tc>
          <w:tcPr>
            <w:tcW w:w="11505" w:type="dxa"/>
            <w:shd w:val="clear" w:color="auto" w:fill="E5DFEC"/>
          </w:tcPr>
          <w:p w14:paraId="00000031" w14:textId="77777777" w:rsidR="00781DB6" w:rsidRDefault="00217602">
            <w:pPr>
              <w:numPr>
                <w:ilvl w:val="0"/>
                <w:numId w:val="15"/>
              </w:numPr>
              <w:rPr>
                <w:rFonts w:ascii="Arial" w:eastAsia="Arial" w:hAnsi="Arial" w:cs="Arial"/>
              </w:rPr>
            </w:pPr>
            <w:r>
              <w:rPr>
                <w:rFonts w:ascii="Arial" w:eastAsia="Arial" w:hAnsi="Arial" w:cs="Arial"/>
              </w:rPr>
              <w:t>what opportunities do students have to engage with critical enquiry into and active learning of the experiences of disadvantaged and marginalised groups</w:t>
            </w:r>
          </w:p>
          <w:p w14:paraId="00000032" w14:textId="77777777" w:rsidR="00781DB6" w:rsidRDefault="00217602">
            <w:pPr>
              <w:numPr>
                <w:ilvl w:val="0"/>
                <w:numId w:val="15"/>
              </w:numPr>
              <w:spacing w:after="120"/>
              <w:rPr>
                <w:rFonts w:ascii="Arial" w:eastAsia="Arial" w:hAnsi="Arial" w:cs="Arial"/>
              </w:rPr>
            </w:pPr>
            <w:r>
              <w:rPr>
                <w:rFonts w:ascii="Arial" w:eastAsia="Arial" w:hAnsi="Arial" w:cs="Arial"/>
              </w:rPr>
              <w:t>what opportunities do they have to understand exclusionary practice in their particular disciplines</w:t>
            </w:r>
          </w:p>
        </w:tc>
      </w:tr>
    </w:tbl>
    <w:p w14:paraId="00000033" w14:textId="77777777" w:rsidR="00781DB6" w:rsidRDefault="00781DB6">
      <w:pPr>
        <w:spacing w:after="120" w:line="240" w:lineRule="auto"/>
      </w:pPr>
    </w:p>
    <w:tbl>
      <w:tblPr>
        <w:tblStyle w:val="5"/>
        <w:tblW w:w="14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2805"/>
        <w:gridCol w:w="11445"/>
      </w:tblGrid>
      <w:tr w:rsidR="00781DB6" w14:paraId="0AE031F3" w14:textId="77777777" w:rsidTr="00FC65BD">
        <w:tc>
          <w:tcPr>
            <w:tcW w:w="14250" w:type="dxa"/>
            <w:gridSpan w:val="2"/>
            <w:shd w:val="clear" w:color="auto" w:fill="DBEEF3"/>
          </w:tcPr>
          <w:p w14:paraId="00000034" w14:textId="77777777" w:rsidR="00781DB6" w:rsidRDefault="00217602">
            <w:pPr>
              <w:pStyle w:val="Heading3"/>
              <w:jc w:val="center"/>
              <w:rPr>
                <w:rFonts w:ascii="Arial" w:eastAsia="Arial" w:hAnsi="Arial" w:cs="Arial"/>
                <w:b w:val="0"/>
              </w:rPr>
            </w:pPr>
            <w:r>
              <w:rPr>
                <w:rFonts w:ascii="Arial" w:eastAsia="Arial" w:hAnsi="Arial" w:cs="Arial"/>
              </w:rPr>
              <w:t>IDENTITY, PERSONALISATION and REFLECTION</w:t>
            </w:r>
          </w:p>
        </w:tc>
      </w:tr>
      <w:tr w:rsidR="00781DB6" w14:paraId="0A33D4CF" w14:textId="77777777" w:rsidTr="00FC65BD">
        <w:tc>
          <w:tcPr>
            <w:tcW w:w="14250" w:type="dxa"/>
            <w:gridSpan w:val="2"/>
            <w:shd w:val="clear" w:color="auto" w:fill="DBEEF3"/>
          </w:tcPr>
          <w:p w14:paraId="00000036" w14:textId="77777777" w:rsidR="00781DB6" w:rsidRDefault="00217602">
            <w:pPr>
              <w:rPr>
                <w:rFonts w:ascii="Arial" w:eastAsia="Arial" w:hAnsi="Arial" w:cs="Arial"/>
                <w:color w:val="000000"/>
              </w:rPr>
            </w:pPr>
            <w:r>
              <w:rPr>
                <w:rFonts w:ascii="Arial" w:eastAsia="Arial" w:hAnsi="Arial" w:cs="Arial"/>
                <w:color w:val="000000"/>
              </w:rPr>
              <w:t xml:space="preserve">All students are entitled to an education experience which validates and honours their identities and their lived experience. A relatable curriculum where students see themselves and their traditions reflected will engage them and reduce feelings of alienation within the University community. Opportunities to share our experiences encourage reflection on our individual values and understand our response to the World. </w:t>
            </w:r>
          </w:p>
        </w:tc>
      </w:tr>
      <w:tr w:rsidR="00781DB6" w14:paraId="37B02585" w14:textId="77777777" w:rsidTr="00FC65BD">
        <w:tc>
          <w:tcPr>
            <w:tcW w:w="2805" w:type="dxa"/>
            <w:shd w:val="clear" w:color="auto" w:fill="DBEEF3"/>
          </w:tcPr>
          <w:p w14:paraId="00000038" w14:textId="77777777" w:rsidR="00781DB6" w:rsidRDefault="00217602">
            <w:pPr>
              <w:spacing w:after="120"/>
              <w:rPr>
                <w:rFonts w:ascii="Arial" w:eastAsia="Arial" w:hAnsi="Arial" w:cs="Arial"/>
              </w:rPr>
            </w:pPr>
            <w:r>
              <w:rPr>
                <w:rFonts w:ascii="Arial" w:eastAsia="Arial" w:hAnsi="Arial" w:cs="Arial"/>
                <w:b/>
              </w:rPr>
              <w:t>Key Aspects</w:t>
            </w:r>
          </w:p>
        </w:tc>
        <w:tc>
          <w:tcPr>
            <w:tcW w:w="11445" w:type="dxa"/>
            <w:shd w:val="clear" w:color="auto" w:fill="DBEEF3"/>
          </w:tcPr>
          <w:p w14:paraId="00000039" w14:textId="77777777" w:rsidR="00781DB6" w:rsidRDefault="00217602">
            <w:pPr>
              <w:spacing w:after="120"/>
              <w:rPr>
                <w:rFonts w:ascii="Arial" w:eastAsia="Arial" w:hAnsi="Arial" w:cs="Arial"/>
                <w:color w:val="CC0000"/>
              </w:rPr>
            </w:pPr>
            <w:r>
              <w:rPr>
                <w:rFonts w:ascii="Arial" w:eastAsia="Arial" w:hAnsi="Arial" w:cs="Arial"/>
                <w:b/>
                <w:color w:val="CC0000"/>
              </w:rPr>
              <w:t>Provide a brief statement, consider the points below (bullet points are to be deleted)</w:t>
            </w:r>
          </w:p>
        </w:tc>
      </w:tr>
      <w:tr w:rsidR="00781DB6" w14:paraId="0339BC0E" w14:textId="77777777" w:rsidTr="00FC65BD">
        <w:tc>
          <w:tcPr>
            <w:tcW w:w="2805" w:type="dxa"/>
            <w:shd w:val="clear" w:color="auto" w:fill="DBEEF3"/>
          </w:tcPr>
          <w:p w14:paraId="0000003A" w14:textId="77777777" w:rsidR="00781DB6" w:rsidRDefault="00217602">
            <w:pPr>
              <w:spacing w:after="120"/>
              <w:rPr>
                <w:rFonts w:ascii="Arial" w:eastAsia="Arial" w:hAnsi="Arial" w:cs="Arial"/>
                <w:b/>
              </w:rPr>
            </w:pPr>
            <w:r>
              <w:rPr>
                <w:rFonts w:ascii="Arial" w:eastAsia="Arial" w:hAnsi="Arial" w:cs="Arial"/>
                <w:b/>
              </w:rPr>
              <w:t xml:space="preserve">Belonging </w:t>
            </w:r>
          </w:p>
        </w:tc>
        <w:tc>
          <w:tcPr>
            <w:tcW w:w="11445" w:type="dxa"/>
            <w:shd w:val="clear" w:color="auto" w:fill="DBEEF3"/>
          </w:tcPr>
          <w:p w14:paraId="0000003B" w14:textId="77777777" w:rsidR="00781DB6" w:rsidRDefault="00217602">
            <w:pPr>
              <w:numPr>
                <w:ilvl w:val="0"/>
                <w:numId w:val="20"/>
              </w:numPr>
              <w:spacing w:after="120"/>
              <w:rPr>
                <w:rFonts w:ascii="Arial" w:eastAsia="Arial" w:hAnsi="Arial" w:cs="Arial"/>
              </w:rPr>
            </w:pPr>
            <w:r>
              <w:rPr>
                <w:rFonts w:ascii="Arial" w:eastAsia="Arial" w:hAnsi="Arial" w:cs="Arial"/>
              </w:rPr>
              <w:t xml:space="preserve">how you are facilitating </w:t>
            </w:r>
            <w:r>
              <w:rPr>
                <w:rFonts w:ascii="Arial" w:eastAsia="Arial" w:hAnsi="Arial" w:cs="Arial"/>
                <w:i/>
              </w:rPr>
              <w:t>enjoyment</w:t>
            </w:r>
            <w:r>
              <w:rPr>
                <w:rFonts w:ascii="Arial" w:eastAsia="Arial" w:hAnsi="Arial" w:cs="Arial"/>
              </w:rPr>
              <w:t xml:space="preserve"> of learning</w:t>
            </w:r>
          </w:p>
        </w:tc>
      </w:tr>
      <w:tr w:rsidR="00781DB6" w14:paraId="631AA8BD" w14:textId="77777777" w:rsidTr="00FC65BD">
        <w:tc>
          <w:tcPr>
            <w:tcW w:w="2805" w:type="dxa"/>
            <w:shd w:val="clear" w:color="auto" w:fill="DBEEF3"/>
          </w:tcPr>
          <w:p w14:paraId="0000003C" w14:textId="77777777" w:rsidR="00781DB6" w:rsidRDefault="00217602">
            <w:pPr>
              <w:spacing w:after="120"/>
              <w:rPr>
                <w:rFonts w:ascii="Arial" w:eastAsia="Arial" w:hAnsi="Arial" w:cs="Arial"/>
                <w:b/>
              </w:rPr>
            </w:pPr>
            <w:r>
              <w:rPr>
                <w:rFonts w:ascii="Arial" w:eastAsia="Arial" w:hAnsi="Arial" w:cs="Arial"/>
                <w:b/>
              </w:rPr>
              <w:t>Confidence</w:t>
            </w:r>
          </w:p>
        </w:tc>
        <w:tc>
          <w:tcPr>
            <w:tcW w:w="11445" w:type="dxa"/>
            <w:shd w:val="clear" w:color="auto" w:fill="DBEEF3"/>
          </w:tcPr>
          <w:p w14:paraId="0000003D" w14:textId="77777777" w:rsidR="00781DB6" w:rsidRDefault="00217602">
            <w:pPr>
              <w:numPr>
                <w:ilvl w:val="0"/>
                <w:numId w:val="11"/>
              </w:numPr>
              <w:rPr>
                <w:rFonts w:ascii="Arial" w:eastAsia="Arial" w:hAnsi="Arial" w:cs="Arial"/>
              </w:rPr>
            </w:pPr>
            <w:r>
              <w:rPr>
                <w:rFonts w:ascii="Arial" w:eastAsia="Arial" w:hAnsi="Arial" w:cs="Arial"/>
              </w:rPr>
              <w:t>how you are building students’ confidence, self-efficacy and emotional resilience</w:t>
            </w:r>
          </w:p>
          <w:p w14:paraId="0000003E" w14:textId="77777777" w:rsidR="00781DB6" w:rsidRDefault="00217602">
            <w:pPr>
              <w:numPr>
                <w:ilvl w:val="0"/>
                <w:numId w:val="11"/>
              </w:numPr>
              <w:spacing w:after="120"/>
              <w:rPr>
                <w:rFonts w:ascii="Arial" w:eastAsia="Arial" w:hAnsi="Arial" w:cs="Arial"/>
              </w:rPr>
            </w:pPr>
            <w:r>
              <w:rPr>
                <w:rFonts w:ascii="Arial" w:eastAsia="Arial" w:hAnsi="Arial" w:cs="Arial"/>
              </w:rPr>
              <w:t>how you are creating trust and safe spaces to enable our students to express themselves and have their contributions validated</w:t>
            </w:r>
          </w:p>
        </w:tc>
      </w:tr>
      <w:tr w:rsidR="00781DB6" w14:paraId="68C3227A" w14:textId="77777777" w:rsidTr="00FC65BD">
        <w:tc>
          <w:tcPr>
            <w:tcW w:w="2805" w:type="dxa"/>
            <w:shd w:val="clear" w:color="auto" w:fill="DBEEF3"/>
          </w:tcPr>
          <w:p w14:paraId="0000003F" w14:textId="77777777" w:rsidR="00781DB6" w:rsidRDefault="00217602">
            <w:pPr>
              <w:spacing w:after="120"/>
              <w:rPr>
                <w:rFonts w:ascii="Arial" w:eastAsia="Arial" w:hAnsi="Arial" w:cs="Arial"/>
                <w:b/>
              </w:rPr>
            </w:pPr>
            <w:r>
              <w:rPr>
                <w:rFonts w:ascii="Arial" w:eastAsia="Arial" w:hAnsi="Arial" w:cs="Arial"/>
                <w:b/>
              </w:rPr>
              <w:t>Student capital</w:t>
            </w:r>
          </w:p>
        </w:tc>
        <w:tc>
          <w:tcPr>
            <w:tcW w:w="11445" w:type="dxa"/>
            <w:shd w:val="clear" w:color="auto" w:fill="DBEEF3"/>
          </w:tcPr>
          <w:p w14:paraId="00000040" w14:textId="77777777" w:rsidR="00781DB6" w:rsidRDefault="00217602">
            <w:pPr>
              <w:numPr>
                <w:ilvl w:val="0"/>
                <w:numId w:val="2"/>
              </w:numPr>
              <w:spacing w:after="120"/>
              <w:rPr>
                <w:rFonts w:ascii="Arial" w:eastAsia="Arial" w:hAnsi="Arial" w:cs="Arial"/>
              </w:rPr>
            </w:pPr>
            <w:r>
              <w:rPr>
                <w:rFonts w:ascii="Arial" w:eastAsia="Arial" w:hAnsi="Arial" w:cs="Arial"/>
              </w:rPr>
              <w:t>in what ways are you incorporating study material that reflects our students’ experiences and identities (relatable curriculum), and that can inspire engagement and life-long learning</w:t>
            </w:r>
          </w:p>
        </w:tc>
      </w:tr>
    </w:tbl>
    <w:p w14:paraId="00000041" w14:textId="77777777" w:rsidR="00781DB6" w:rsidRDefault="00781DB6">
      <w:pPr>
        <w:spacing w:after="120" w:line="240" w:lineRule="auto"/>
      </w:pPr>
    </w:p>
    <w:tbl>
      <w:tblPr>
        <w:tblStyle w:val="4"/>
        <w:tblW w:w="14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2805"/>
        <w:gridCol w:w="11460"/>
      </w:tblGrid>
      <w:tr w:rsidR="00781DB6" w14:paraId="20CA961F" w14:textId="77777777" w:rsidTr="00FC65BD">
        <w:tc>
          <w:tcPr>
            <w:tcW w:w="14265" w:type="dxa"/>
            <w:gridSpan w:val="2"/>
            <w:shd w:val="clear" w:color="auto" w:fill="F2DCDB"/>
          </w:tcPr>
          <w:p w14:paraId="00000042" w14:textId="77777777" w:rsidR="00781DB6" w:rsidRDefault="00217602">
            <w:pPr>
              <w:pStyle w:val="Heading3"/>
              <w:jc w:val="center"/>
              <w:rPr>
                <w:rFonts w:ascii="Arial" w:eastAsia="Arial" w:hAnsi="Arial" w:cs="Arial"/>
                <w:b w:val="0"/>
              </w:rPr>
            </w:pPr>
            <w:r>
              <w:rPr>
                <w:rFonts w:ascii="Arial" w:eastAsia="Arial" w:hAnsi="Arial" w:cs="Arial"/>
              </w:rPr>
              <w:t>CRITICAL THEORY and CRITICAL PEDAGOGY</w:t>
            </w:r>
          </w:p>
        </w:tc>
      </w:tr>
      <w:tr w:rsidR="00781DB6" w14:paraId="56CA0645" w14:textId="77777777" w:rsidTr="00FC65BD">
        <w:tc>
          <w:tcPr>
            <w:tcW w:w="14265" w:type="dxa"/>
            <w:gridSpan w:val="2"/>
            <w:shd w:val="clear" w:color="auto" w:fill="F2DCDB"/>
          </w:tcPr>
          <w:p w14:paraId="00000044" w14:textId="77777777" w:rsidR="00781DB6" w:rsidRDefault="00217602">
            <w:pPr>
              <w:rPr>
                <w:rFonts w:ascii="Arial" w:eastAsia="Arial" w:hAnsi="Arial" w:cs="Arial"/>
                <w:b/>
              </w:rPr>
            </w:pPr>
            <w:r>
              <w:rPr>
                <w:rFonts w:ascii="Arial" w:eastAsia="Arial" w:hAnsi="Arial" w:cs="Arial"/>
              </w:rPr>
              <w:t xml:space="preserve">In critical pedagogy, the curriculum content and process are aimed at developing students’ critical consciousness and empowering them, in turn, to stand against inequalities and become agents of social change. Academic study is imbued with a silent curriculum, laden with unspoken or implicit values and norms: we have the power to maintain the transmission of hegemonic traditions which perpetuate marginalisation – but even greater is our power to disrupt and invite our students to consciously intervene in the world. </w:t>
            </w:r>
          </w:p>
        </w:tc>
      </w:tr>
      <w:tr w:rsidR="00781DB6" w14:paraId="126363FE" w14:textId="77777777" w:rsidTr="00FC65BD">
        <w:tc>
          <w:tcPr>
            <w:tcW w:w="2805" w:type="dxa"/>
            <w:shd w:val="clear" w:color="auto" w:fill="F2DCDB"/>
          </w:tcPr>
          <w:p w14:paraId="00000046" w14:textId="77777777" w:rsidR="00781DB6" w:rsidRDefault="00217602">
            <w:pPr>
              <w:spacing w:after="120"/>
              <w:rPr>
                <w:rFonts w:ascii="Arial" w:eastAsia="Arial" w:hAnsi="Arial" w:cs="Arial"/>
              </w:rPr>
            </w:pPr>
            <w:r>
              <w:rPr>
                <w:rFonts w:ascii="Arial" w:eastAsia="Arial" w:hAnsi="Arial" w:cs="Arial"/>
                <w:b/>
              </w:rPr>
              <w:t>Key Aspects</w:t>
            </w:r>
          </w:p>
        </w:tc>
        <w:tc>
          <w:tcPr>
            <w:tcW w:w="11460" w:type="dxa"/>
            <w:shd w:val="clear" w:color="auto" w:fill="F2DCDB"/>
          </w:tcPr>
          <w:p w14:paraId="00000047" w14:textId="799A9AC5" w:rsidR="00781DB6" w:rsidRDefault="00217602">
            <w:pPr>
              <w:spacing w:after="120"/>
              <w:rPr>
                <w:rFonts w:ascii="Arial" w:eastAsia="Arial" w:hAnsi="Arial" w:cs="Arial"/>
                <w:color w:val="CC0000"/>
              </w:rPr>
            </w:pPr>
            <w:r w:rsidRPr="00FC65BD">
              <w:rPr>
                <w:rFonts w:ascii="Arial" w:eastAsia="Arial" w:hAnsi="Arial" w:cs="Arial"/>
                <w:b/>
                <w:color w:val="C00000"/>
              </w:rPr>
              <w:t>Provide a brief statement, consider the points below (bullet points are to be deleted)</w:t>
            </w:r>
          </w:p>
        </w:tc>
      </w:tr>
      <w:tr w:rsidR="00781DB6" w14:paraId="5572C060" w14:textId="77777777" w:rsidTr="00FC65BD">
        <w:tc>
          <w:tcPr>
            <w:tcW w:w="2805" w:type="dxa"/>
            <w:shd w:val="clear" w:color="auto" w:fill="F2DCDB"/>
          </w:tcPr>
          <w:p w14:paraId="00000048" w14:textId="77777777" w:rsidR="00781DB6" w:rsidRDefault="00217602">
            <w:pPr>
              <w:spacing w:after="120"/>
              <w:rPr>
                <w:rFonts w:ascii="Arial" w:eastAsia="Arial" w:hAnsi="Arial" w:cs="Arial"/>
                <w:b/>
              </w:rPr>
            </w:pPr>
            <w:r>
              <w:rPr>
                <w:rFonts w:ascii="Arial" w:eastAsia="Arial" w:hAnsi="Arial" w:cs="Arial"/>
                <w:b/>
              </w:rPr>
              <w:t>Critical Theory (CT) and Social Justice</w:t>
            </w:r>
          </w:p>
        </w:tc>
        <w:tc>
          <w:tcPr>
            <w:tcW w:w="11460" w:type="dxa"/>
            <w:shd w:val="clear" w:color="auto" w:fill="F2DCDB"/>
          </w:tcPr>
          <w:p w14:paraId="00000049" w14:textId="77777777" w:rsidR="00781DB6" w:rsidRDefault="00217602">
            <w:pPr>
              <w:numPr>
                <w:ilvl w:val="0"/>
                <w:numId w:val="5"/>
              </w:numPr>
              <w:rPr>
                <w:rFonts w:ascii="Arial" w:eastAsia="Arial" w:hAnsi="Arial" w:cs="Arial"/>
              </w:rPr>
            </w:pPr>
            <w:r>
              <w:rPr>
                <w:rFonts w:ascii="Arial" w:eastAsia="Arial" w:hAnsi="Arial" w:cs="Arial"/>
              </w:rPr>
              <w:t>what is the role, history and significance of CT in your discipline/s</w:t>
            </w:r>
          </w:p>
          <w:p w14:paraId="0000004A" w14:textId="77777777" w:rsidR="00781DB6" w:rsidRDefault="00217602">
            <w:pPr>
              <w:numPr>
                <w:ilvl w:val="0"/>
                <w:numId w:val="5"/>
              </w:numPr>
              <w:spacing w:after="120"/>
              <w:rPr>
                <w:rFonts w:ascii="Arial" w:eastAsia="Arial" w:hAnsi="Arial" w:cs="Arial"/>
              </w:rPr>
            </w:pPr>
            <w:r>
              <w:rPr>
                <w:rFonts w:ascii="Arial" w:eastAsia="Arial" w:hAnsi="Arial" w:cs="Arial"/>
              </w:rPr>
              <w:t>how is curriculum content, learning and assessment methods aligned with this “critical pedagogy” approach</w:t>
            </w:r>
          </w:p>
        </w:tc>
      </w:tr>
      <w:tr w:rsidR="00781DB6" w14:paraId="657AD1DD" w14:textId="77777777" w:rsidTr="00FC65BD">
        <w:tc>
          <w:tcPr>
            <w:tcW w:w="2805" w:type="dxa"/>
            <w:shd w:val="clear" w:color="auto" w:fill="F2DCDB"/>
          </w:tcPr>
          <w:p w14:paraId="0000004B" w14:textId="77777777" w:rsidR="00781DB6" w:rsidRDefault="00217602">
            <w:pPr>
              <w:spacing w:after="120"/>
              <w:rPr>
                <w:rFonts w:ascii="Arial" w:eastAsia="Arial" w:hAnsi="Arial" w:cs="Arial"/>
                <w:b/>
              </w:rPr>
            </w:pPr>
            <w:r>
              <w:rPr>
                <w:rFonts w:ascii="Arial" w:eastAsia="Arial" w:hAnsi="Arial" w:cs="Arial"/>
                <w:b/>
              </w:rPr>
              <w:t>Student Engagement</w:t>
            </w:r>
          </w:p>
        </w:tc>
        <w:tc>
          <w:tcPr>
            <w:tcW w:w="11460" w:type="dxa"/>
            <w:shd w:val="clear" w:color="auto" w:fill="F2DCDB"/>
          </w:tcPr>
          <w:p w14:paraId="0000004C" w14:textId="77777777" w:rsidR="00781DB6" w:rsidRDefault="00217602">
            <w:pPr>
              <w:numPr>
                <w:ilvl w:val="0"/>
                <w:numId w:val="9"/>
              </w:numPr>
              <w:rPr>
                <w:rFonts w:ascii="Arial" w:eastAsia="Arial" w:hAnsi="Arial" w:cs="Arial"/>
              </w:rPr>
            </w:pPr>
            <w:r>
              <w:rPr>
                <w:rFonts w:ascii="Arial" w:eastAsia="Arial" w:hAnsi="Arial" w:cs="Arial"/>
              </w:rPr>
              <w:t>how can you work with students as partners in diversifying the curriculum</w:t>
            </w:r>
          </w:p>
          <w:p w14:paraId="0000004D" w14:textId="77777777" w:rsidR="00781DB6" w:rsidRDefault="00217602">
            <w:pPr>
              <w:numPr>
                <w:ilvl w:val="0"/>
                <w:numId w:val="9"/>
              </w:numPr>
              <w:spacing w:after="120"/>
              <w:rPr>
                <w:rFonts w:ascii="Arial" w:eastAsia="Arial" w:hAnsi="Arial" w:cs="Arial"/>
              </w:rPr>
            </w:pPr>
            <w:r>
              <w:rPr>
                <w:rFonts w:ascii="Arial" w:eastAsia="Arial" w:hAnsi="Arial" w:cs="Arial"/>
              </w:rPr>
              <w:lastRenderedPageBreak/>
              <w:t>how can you bolster our students’ capacity for resilience to empower them when facing/transforming the world of work</w:t>
            </w:r>
          </w:p>
        </w:tc>
      </w:tr>
    </w:tbl>
    <w:p w14:paraId="4BC21F3A" w14:textId="77777777" w:rsidR="00846A27" w:rsidRDefault="00846A27">
      <w:pPr>
        <w:spacing w:after="120" w:line="240" w:lineRule="auto"/>
      </w:pPr>
    </w:p>
    <w:tbl>
      <w:tblPr>
        <w:tblStyle w:val="3"/>
        <w:tblW w:w="14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2835"/>
        <w:gridCol w:w="11430"/>
      </w:tblGrid>
      <w:tr w:rsidR="00781DB6" w14:paraId="76D7993D" w14:textId="77777777" w:rsidTr="00FC65BD">
        <w:tc>
          <w:tcPr>
            <w:tcW w:w="14265" w:type="dxa"/>
            <w:gridSpan w:val="2"/>
            <w:shd w:val="clear" w:color="auto" w:fill="E5DFEC"/>
          </w:tcPr>
          <w:p w14:paraId="0000004F" w14:textId="77777777" w:rsidR="00781DB6" w:rsidRDefault="00217602">
            <w:pPr>
              <w:pStyle w:val="Heading3"/>
              <w:jc w:val="center"/>
              <w:rPr>
                <w:rFonts w:ascii="Arial" w:eastAsia="Arial" w:hAnsi="Arial" w:cs="Arial"/>
                <w:b w:val="0"/>
              </w:rPr>
            </w:pPr>
            <w:r>
              <w:rPr>
                <w:rFonts w:ascii="Arial" w:eastAsia="Arial" w:hAnsi="Arial" w:cs="Arial"/>
              </w:rPr>
              <w:t>DECOLONISING THE CURRICULUM</w:t>
            </w:r>
          </w:p>
        </w:tc>
      </w:tr>
      <w:tr w:rsidR="00781DB6" w14:paraId="1B33F623" w14:textId="77777777" w:rsidTr="00FC65BD">
        <w:tc>
          <w:tcPr>
            <w:tcW w:w="14265" w:type="dxa"/>
            <w:gridSpan w:val="2"/>
            <w:shd w:val="clear" w:color="auto" w:fill="E5DFEC"/>
          </w:tcPr>
          <w:p w14:paraId="00000051" w14:textId="77777777" w:rsidR="00781DB6" w:rsidRDefault="00217602">
            <w:pPr>
              <w:spacing w:after="120"/>
              <w:rPr>
                <w:rFonts w:ascii="Arial" w:eastAsia="Arial" w:hAnsi="Arial" w:cs="Arial"/>
              </w:rPr>
            </w:pPr>
            <w:r>
              <w:rPr>
                <w:rFonts w:ascii="Arial" w:eastAsia="Arial" w:hAnsi="Arial" w:cs="Arial"/>
              </w:rPr>
              <w:t>Decolonising’ means challenging West-centric worldviews, epistemological traditions and ideological forces that silence marginalised groups and sustain the racialised inequalities that permeate society – in order to incorporate alternative perspectives, experiences and epistemologies. It is not just about adjusting curriculum content but also, importantly, about pedagogy – democratising the learning space and involving students as co-creators of critical knowledge.</w:t>
            </w:r>
          </w:p>
        </w:tc>
      </w:tr>
      <w:tr w:rsidR="00781DB6" w14:paraId="6BF665C4" w14:textId="77777777" w:rsidTr="00FC65BD">
        <w:tc>
          <w:tcPr>
            <w:tcW w:w="2835" w:type="dxa"/>
            <w:shd w:val="clear" w:color="auto" w:fill="E5DFEC"/>
          </w:tcPr>
          <w:p w14:paraId="00000053" w14:textId="77777777" w:rsidR="00781DB6" w:rsidRDefault="00217602">
            <w:pPr>
              <w:spacing w:after="120"/>
              <w:rPr>
                <w:rFonts w:ascii="Arial" w:eastAsia="Arial" w:hAnsi="Arial" w:cs="Arial"/>
                <w:b/>
              </w:rPr>
            </w:pPr>
            <w:r>
              <w:rPr>
                <w:rFonts w:ascii="Arial" w:eastAsia="Arial" w:hAnsi="Arial" w:cs="Arial"/>
                <w:b/>
              </w:rPr>
              <w:t xml:space="preserve">Key Aspects </w:t>
            </w:r>
          </w:p>
        </w:tc>
        <w:tc>
          <w:tcPr>
            <w:tcW w:w="11430" w:type="dxa"/>
            <w:shd w:val="clear" w:color="auto" w:fill="E5DFEC"/>
          </w:tcPr>
          <w:p w14:paraId="00000054" w14:textId="77777777" w:rsidR="00781DB6" w:rsidRDefault="00217602">
            <w:pPr>
              <w:spacing w:after="120"/>
              <w:rPr>
                <w:rFonts w:ascii="Arial" w:eastAsia="Arial" w:hAnsi="Arial" w:cs="Arial"/>
                <w:b/>
                <w:color w:val="CC0000"/>
              </w:rPr>
            </w:pPr>
            <w:r>
              <w:rPr>
                <w:rFonts w:ascii="Arial" w:eastAsia="Arial" w:hAnsi="Arial" w:cs="Arial"/>
                <w:b/>
                <w:color w:val="CC0000"/>
              </w:rPr>
              <w:t>Provide a brief statement, consider the points below  (bullet points are to be deleted)</w:t>
            </w:r>
          </w:p>
        </w:tc>
      </w:tr>
      <w:tr w:rsidR="00781DB6" w14:paraId="189A041A" w14:textId="77777777" w:rsidTr="00FC65BD">
        <w:tc>
          <w:tcPr>
            <w:tcW w:w="2835" w:type="dxa"/>
            <w:shd w:val="clear" w:color="auto" w:fill="E5DFEC"/>
          </w:tcPr>
          <w:p w14:paraId="00000055" w14:textId="77777777" w:rsidR="00781DB6" w:rsidRDefault="00217602">
            <w:pPr>
              <w:spacing w:after="120"/>
              <w:rPr>
                <w:rFonts w:ascii="Arial" w:eastAsia="Arial" w:hAnsi="Arial" w:cs="Arial"/>
              </w:rPr>
            </w:pPr>
            <w:r>
              <w:rPr>
                <w:rFonts w:ascii="Arial" w:eastAsia="Arial" w:hAnsi="Arial" w:cs="Arial"/>
              </w:rPr>
              <w:t>Student profile and partnership</w:t>
            </w:r>
          </w:p>
        </w:tc>
        <w:tc>
          <w:tcPr>
            <w:tcW w:w="11430" w:type="dxa"/>
            <w:shd w:val="clear" w:color="auto" w:fill="E5DFEC"/>
          </w:tcPr>
          <w:p w14:paraId="00000056" w14:textId="77777777" w:rsidR="00781DB6" w:rsidRDefault="00217602">
            <w:pPr>
              <w:numPr>
                <w:ilvl w:val="0"/>
                <w:numId w:val="19"/>
              </w:numPr>
              <w:spacing w:after="120"/>
              <w:rPr>
                <w:rFonts w:ascii="Arial" w:eastAsia="Arial" w:hAnsi="Arial" w:cs="Arial"/>
              </w:rPr>
            </w:pPr>
            <w:r>
              <w:rPr>
                <w:rFonts w:ascii="Arial" w:eastAsia="Arial" w:hAnsi="Arial" w:cs="Arial"/>
              </w:rPr>
              <w:t>what opportunities are there for students to contribute to decolonising the curriculum, such as through offering ideas about content, pedagogy and assessment or by giving feedback on these processes</w:t>
            </w:r>
          </w:p>
        </w:tc>
      </w:tr>
      <w:tr w:rsidR="00781DB6" w14:paraId="3057A63A" w14:textId="77777777" w:rsidTr="00FC65BD">
        <w:tc>
          <w:tcPr>
            <w:tcW w:w="2835" w:type="dxa"/>
            <w:shd w:val="clear" w:color="auto" w:fill="E5DFEC"/>
          </w:tcPr>
          <w:p w14:paraId="00000057" w14:textId="77777777" w:rsidR="00781DB6" w:rsidRDefault="00217602">
            <w:pPr>
              <w:spacing w:after="120"/>
              <w:rPr>
                <w:rFonts w:ascii="Arial" w:eastAsia="Arial" w:hAnsi="Arial" w:cs="Arial"/>
              </w:rPr>
            </w:pPr>
            <w:r>
              <w:rPr>
                <w:rFonts w:ascii="Arial" w:eastAsia="Arial" w:hAnsi="Arial" w:cs="Arial"/>
              </w:rPr>
              <w:t>Subject content</w:t>
            </w:r>
          </w:p>
        </w:tc>
        <w:tc>
          <w:tcPr>
            <w:tcW w:w="11430" w:type="dxa"/>
            <w:shd w:val="clear" w:color="auto" w:fill="E5DFEC"/>
          </w:tcPr>
          <w:p w14:paraId="00000058" w14:textId="77777777" w:rsidR="00781DB6" w:rsidRDefault="00217602">
            <w:pPr>
              <w:numPr>
                <w:ilvl w:val="0"/>
                <w:numId w:val="10"/>
              </w:numPr>
              <w:rPr>
                <w:rFonts w:ascii="Arial" w:eastAsia="Arial" w:hAnsi="Arial" w:cs="Arial"/>
              </w:rPr>
            </w:pPr>
            <w:r>
              <w:rPr>
                <w:rFonts w:ascii="Arial" w:eastAsia="Arial" w:hAnsi="Arial" w:cs="Arial"/>
              </w:rPr>
              <w:t>what provision is made to explore the purpose and history of the subject area</w:t>
            </w:r>
          </w:p>
          <w:p w14:paraId="00000059" w14:textId="77777777" w:rsidR="00781DB6" w:rsidRDefault="00217602">
            <w:pPr>
              <w:numPr>
                <w:ilvl w:val="0"/>
                <w:numId w:val="10"/>
              </w:numPr>
              <w:spacing w:after="120"/>
              <w:rPr>
                <w:rFonts w:ascii="Arial" w:eastAsia="Arial" w:hAnsi="Arial" w:cs="Arial"/>
              </w:rPr>
            </w:pPr>
            <w:r>
              <w:rPr>
                <w:rFonts w:ascii="Arial" w:eastAsia="Arial" w:hAnsi="Arial" w:cs="Arial"/>
              </w:rPr>
              <w:t>does the course include a variety of perspectives and scholars from different backgrounds and examples that connect with students identities, experiences and interests</w:t>
            </w:r>
          </w:p>
        </w:tc>
      </w:tr>
      <w:tr w:rsidR="00781DB6" w14:paraId="3CA1EDA2" w14:textId="77777777" w:rsidTr="00FC65BD">
        <w:tc>
          <w:tcPr>
            <w:tcW w:w="2835" w:type="dxa"/>
            <w:shd w:val="clear" w:color="auto" w:fill="E5DFEC"/>
          </w:tcPr>
          <w:p w14:paraId="0000005A" w14:textId="77777777" w:rsidR="00781DB6" w:rsidRDefault="00217602">
            <w:pPr>
              <w:spacing w:after="120"/>
              <w:rPr>
                <w:rFonts w:ascii="Arial" w:eastAsia="Arial" w:hAnsi="Arial" w:cs="Arial"/>
              </w:rPr>
            </w:pPr>
            <w:r>
              <w:rPr>
                <w:rFonts w:ascii="Arial" w:eastAsia="Arial" w:hAnsi="Arial" w:cs="Arial"/>
              </w:rPr>
              <w:t>Language</w:t>
            </w:r>
          </w:p>
        </w:tc>
        <w:tc>
          <w:tcPr>
            <w:tcW w:w="11430" w:type="dxa"/>
            <w:shd w:val="clear" w:color="auto" w:fill="E5DFEC"/>
          </w:tcPr>
          <w:p w14:paraId="0000005B" w14:textId="77777777" w:rsidR="00781DB6" w:rsidRDefault="00217602">
            <w:pPr>
              <w:numPr>
                <w:ilvl w:val="0"/>
                <w:numId w:val="14"/>
              </w:numPr>
              <w:spacing w:after="120"/>
              <w:rPr>
                <w:rFonts w:ascii="Arial" w:eastAsia="Arial" w:hAnsi="Arial" w:cs="Arial"/>
              </w:rPr>
            </w:pPr>
            <w:r>
              <w:rPr>
                <w:rFonts w:ascii="Arial" w:eastAsia="Arial" w:hAnsi="Arial" w:cs="Arial"/>
              </w:rPr>
              <w:t>what scope is there to enable use of other languages and non-English sources</w:t>
            </w:r>
          </w:p>
        </w:tc>
      </w:tr>
      <w:tr w:rsidR="00781DB6" w14:paraId="533A7447" w14:textId="77777777" w:rsidTr="00FC65BD">
        <w:tc>
          <w:tcPr>
            <w:tcW w:w="2835" w:type="dxa"/>
            <w:shd w:val="clear" w:color="auto" w:fill="E5DFEC"/>
          </w:tcPr>
          <w:p w14:paraId="0000005C" w14:textId="77777777" w:rsidR="00781DB6" w:rsidRDefault="00217602">
            <w:pPr>
              <w:spacing w:after="120"/>
              <w:rPr>
                <w:rFonts w:ascii="Arial" w:eastAsia="Arial" w:hAnsi="Arial" w:cs="Arial"/>
              </w:rPr>
            </w:pPr>
            <w:r>
              <w:rPr>
                <w:rFonts w:ascii="Arial" w:eastAsia="Arial" w:hAnsi="Arial" w:cs="Arial"/>
              </w:rPr>
              <w:t>Teaching and learning</w:t>
            </w:r>
          </w:p>
        </w:tc>
        <w:tc>
          <w:tcPr>
            <w:tcW w:w="11430" w:type="dxa"/>
            <w:shd w:val="clear" w:color="auto" w:fill="E5DFEC"/>
          </w:tcPr>
          <w:p w14:paraId="0000005D" w14:textId="77777777" w:rsidR="00781DB6" w:rsidRDefault="00217602">
            <w:pPr>
              <w:numPr>
                <w:ilvl w:val="0"/>
                <w:numId w:val="17"/>
              </w:numPr>
              <w:rPr>
                <w:rFonts w:ascii="Arial" w:eastAsia="Arial" w:hAnsi="Arial" w:cs="Arial"/>
              </w:rPr>
            </w:pPr>
            <w:r>
              <w:rPr>
                <w:rFonts w:ascii="Arial" w:eastAsia="Arial" w:hAnsi="Arial" w:cs="Arial"/>
              </w:rPr>
              <w:t>how is your pedagogy informed by awareness of patterns of racialised attainment/awarding gaps</w:t>
            </w:r>
          </w:p>
          <w:p w14:paraId="0000005E" w14:textId="77777777" w:rsidR="00781DB6" w:rsidRDefault="00217602">
            <w:pPr>
              <w:numPr>
                <w:ilvl w:val="0"/>
                <w:numId w:val="17"/>
              </w:numPr>
              <w:spacing w:after="120"/>
              <w:rPr>
                <w:rFonts w:ascii="Arial" w:eastAsia="Arial" w:hAnsi="Arial" w:cs="Arial"/>
              </w:rPr>
            </w:pPr>
            <w:r>
              <w:rPr>
                <w:rFonts w:ascii="Arial" w:eastAsia="Arial" w:hAnsi="Arial" w:cs="Arial"/>
              </w:rPr>
              <w:t>how far do you include the voices and experiences of those typically "othered" and silenced in academia</w:t>
            </w:r>
          </w:p>
        </w:tc>
      </w:tr>
    </w:tbl>
    <w:p w14:paraId="0000005F" w14:textId="77777777" w:rsidR="00781DB6" w:rsidRDefault="00781DB6">
      <w:pPr>
        <w:spacing w:after="120" w:line="240" w:lineRule="auto"/>
      </w:pPr>
    </w:p>
    <w:tbl>
      <w:tblPr>
        <w:tblStyle w:val="2"/>
        <w:tblW w:w="14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2805"/>
        <w:gridCol w:w="11430"/>
      </w:tblGrid>
      <w:tr w:rsidR="00781DB6" w14:paraId="2E94B73B" w14:textId="77777777" w:rsidTr="00FC65BD">
        <w:tc>
          <w:tcPr>
            <w:tcW w:w="14235" w:type="dxa"/>
            <w:gridSpan w:val="2"/>
            <w:shd w:val="clear" w:color="auto" w:fill="DBE5F1"/>
          </w:tcPr>
          <w:p w14:paraId="00000060" w14:textId="77777777" w:rsidR="00781DB6" w:rsidRDefault="00217602">
            <w:pPr>
              <w:pStyle w:val="Heading3"/>
              <w:jc w:val="center"/>
              <w:rPr>
                <w:rFonts w:ascii="Arial" w:eastAsia="Arial" w:hAnsi="Arial" w:cs="Arial"/>
                <w:b w:val="0"/>
              </w:rPr>
            </w:pPr>
            <w:r>
              <w:rPr>
                <w:rFonts w:ascii="Arial" w:eastAsia="Arial" w:hAnsi="Arial" w:cs="Arial"/>
              </w:rPr>
              <w:t>RELATIONSHIPS and PSYCHO-SOCIAL ENVIRONMENT</w:t>
            </w:r>
          </w:p>
        </w:tc>
      </w:tr>
      <w:tr w:rsidR="00781DB6" w14:paraId="040DC20F" w14:textId="77777777" w:rsidTr="00FC65BD">
        <w:tc>
          <w:tcPr>
            <w:tcW w:w="14235" w:type="dxa"/>
            <w:gridSpan w:val="2"/>
            <w:shd w:val="clear" w:color="auto" w:fill="DBE5F1"/>
          </w:tcPr>
          <w:p w14:paraId="00000062" w14:textId="77777777" w:rsidR="00781DB6" w:rsidRDefault="00217602">
            <w:pPr>
              <w:spacing w:after="120"/>
              <w:rPr>
                <w:rFonts w:ascii="Arial" w:eastAsia="Arial" w:hAnsi="Arial" w:cs="Arial"/>
                <w:highlight w:val="white"/>
              </w:rPr>
            </w:pPr>
            <w:r>
              <w:rPr>
                <w:rFonts w:ascii="Arial" w:eastAsia="Arial" w:hAnsi="Arial" w:cs="Arial"/>
                <w:shd w:val="clear" w:color="auto" w:fill="DBE5F1"/>
              </w:rPr>
              <w:t xml:space="preserve">Relationships and the University environment are key to enabling students to feel a sense of belonging at London Met and to encourage student engagement with learning and the opportunities offered by the University. </w:t>
            </w:r>
          </w:p>
        </w:tc>
      </w:tr>
      <w:tr w:rsidR="00781DB6" w14:paraId="61DED368" w14:textId="77777777" w:rsidTr="00FC65BD">
        <w:tc>
          <w:tcPr>
            <w:tcW w:w="2805" w:type="dxa"/>
            <w:shd w:val="clear" w:color="auto" w:fill="DBE5F1"/>
          </w:tcPr>
          <w:p w14:paraId="00000064" w14:textId="77777777" w:rsidR="00781DB6" w:rsidRDefault="00217602">
            <w:pPr>
              <w:spacing w:after="120"/>
              <w:rPr>
                <w:rFonts w:ascii="Arial" w:eastAsia="Arial" w:hAnsi="Arial" w:cs="Arial"/>
              </w:rPr>
            </w:pPr>
            <w:r>
              <w:rPr>
                <w:rFonts w:ascii="Arial" w:eastAsia="Arial" w:hAnsi="Arial" w:cs="Arial"/>
                <w:b/>
              </w:rPr>
              <w:t>Key Aspects</w:t>
            </w:r>
          </w:p>
        </w:tc>
        <w:tc>
          <w:tcPr>
            <w:tcW w:w="11430" w:type="dxa"/>
            <w:shd w:val="clear" w:color="auto" w:fill="DBE5F1"/>
          </w:tcPr>
          <w:p w14:paraId="00000065" w14:textId="77777777" w:rsidR="00781DB6" w:rsidRDefault="00217602">
            <w:pPr>
              <w:spacing w:after="120"/>
              <w:rPr>
                <w:rFonts w:ascii="Arial" w:eastAsia="Arial" w:hAnsi="Arial" w:cs="Arial"/>
                <w:color w:val="CC0000"/>
              </w:rPr>
            </w:pPr>
            <w:r>
              <w:rPr>
                <w:rFonts w:ascii="Arial" w:eastAsia="Arial" w:hAnsi="Arial" w:cs="Arial"/>
                <w:b/>
                <w:color w:val="CC0000"/>
              </w:rPr>
              <w:t>Provide a brief statement, consider the points below  (bullet points are to be deleted)</w:t>
            </w:r>
          </w:p>
        </w:tc>
      </w:tr>
      <w:tr w:rsidR="00781DB6" w14:paraId="44AC41D5" w14:textId="77777777" w:rsidTr="00FC65BD">
        <w:tc>
          <w:tcPr>
            <w:tcW w:w="2805" w:type="dxa"/>
            <w:shd w:val="clear" w:color="auto" w:fill="DBE5F1"/>
          </w:tcPr>
          <w:p w14:paraId="00000066" w14:textId="77777777" w:rsidR="00781DB6" w:rsidRDefault="00217602">
            <w:pPr>
              <w:spacing w:after="120"/>
              <w:rPr>
                <w:rFonts w:ascii="Arial" w:eastAsia="Arial" w:hAnsi="Arial" w:cs="Arial"/>
                <w:b/>
              </w:rPr>
            </w:pPr>
            <w:r>
              <w:rPr>
                <w:rFonts w:ascii="Arial" w:eastAsia="Arial" w:hAnsi="Arial" w:cs="Arial"/>
                <w:b/>
              </w:rPr>
              <w:t>Induction and community building</w:t>
            </w:r>
          </w:p>
        </w:tc>
        <w:tc>
          <w:tcPr>
            <w:tcW w:w="11430" w:type="dxa"/>
            <w:shd w:val="clear" w:color="auto" w:fill="DBE5F1"/>
          </w:tcPr>
          <w:p w14:paraId="00000067" w14:textId="77777777" w:rsidR="00781DB6" w:rsidRDefault="00217602">
            <w:pPr>
              <w:numPr>
                <w:ilvl w:val="0"/>
                <w:numId w:val="6"/>
              </w:numPr>
              <w:rPr>
                <w:rFonts w:ascii="Arial" w:eastAsia="Arial" w:hAnsi="Arial" w:cs="Arial"/>
              </w:rPr>
            </w:pPr>
            <w:r>
              <w:rPr>
                <w:rFonts w:ascii="Arial" w:eastAsia="Arial" w:hAnsi="Arial" w:cs="Arial"/>
              </w:rPr>
              <w:t>how does induction facilitate the building of good relations among students and teachers</w:t>
            </w:r>
          </w:p>
          <w:p w14:paraId="00000068" w14:textId="77777777" w:rsidR="00781DB6" w:rsidRDefault="00217602">
            <w:pPr>
              <w:numPr>
                <w:ilvl w:val="0"/>
                <w:numId w:val="6"/>
              </w:numPr>
              <w:spacing w:after="120"/>
              <w:rPr>
                <w:rFonts w:ascii="Arial" w:eastAsia="Arial" w:hAnsi="Arial" w:cs="Arial"/>
              </w:rPr>
            </w:pPr>
            <w:r>
              <w:rPr>
                <w:rFonts w:ascii="Arial" w:eastAsia="Arial" w:hAnsi="Arial" w:cs="Arial"/>
              </w:rPr>
              <w:t>what opportunities are there for building peer relations / use of peer support</w:t>
            </w:r>
          </w:p>
        </w:tc>
      </w:tr>
      <w:tr w:rsidR="00781DB6" w14:paraId="61B5D234" w14:textId="77777777" w:rsidTr="00FC65BD">
        <w:tc>
          <w:tcPr>
            <w:tcW w:w="2805" w:type="dxa"/>
            <w:shd w:val="clear" w:color="auto" w:fill="DBE5F1"/>
          </w:tcPr>
          <w:p w14:paraId="00000069" w14:textId="77777777" w:rsidR="00781DB6" w:rsidRDefault="00217602">
            <w:pPr>
              <w:spacing w:after="120"/>
              <w:rPr>
                <w:rFonts w:ascii="Arial" w:eastAsia="Arial" w:hAnsi="Arial" w:cs="Arial"/>
                <w:b/>
              </w:rPr>
            </w:pPr>
            <w:r>
              <w:rPr>
                <w:rFonts w:ascii="Arial" w:eastAsia="Arial" w:hAnsi="Arial" w:cs="Arial"/>
                <w:b/>
              </w:rPr>
              <w:t>learning spaces and events</w:t>
            </w:r>
          </w:p>
        </w:tc>
        <w:tc>
          <w:tcPr>
            <w:tcW w:w="11430" w:type="dxa"/>
            <w:shd w:val="clear" w:color="auto" w:fill="DBE5F1"/>
          </w:tcPr>
          <w:p w14:paraId="0000006A" w14:textId="77777777" w:rsidR="00781DB6" w:rsidRDefault="00217602">
            <w:pPr>
              <w:numPr>
                <w:ilvl w:val="0"/>
                <w:numId w:val="4"/>
              </w:numPr>
              <w:rPr>
                <w:rFonts w:ascii="Arial" w:eastAsia="Arial" w:hAnsi="Arial" w:cs="Arial"/>
              </w:rPr>
            </w:pPr>
            <w:r>
              <w:rPr>
                <w:rFonts w:ascii="Arial" w:eastAsia="Arial" w:hAnsi="Arial" w:cs="Arial"/>
              </w:rPr>
              <w:t>what scope is there for course/School events that foster student belonging and engagement? (</w:t>
            </w:r>
            <w:proofErr w:type="spellStart"/>
            <w:r>
              <w:rPr>
                <w:rFonts w:ascii="Arial" w:eastAsia="Arial" w:hAnsi="Arial" w:cs="Arial"/>
              </w:rPr>
              <w:t>eg</w:t>
            </w:r>
            <w:proofErr w:type="spellEnd"/>
            <w:r>
              <w:rPr>
                <w:rFonts w:ascii="Arial" w:eastAsia="Arial" w:hAnsi="Arial" w:cs="Arial"/>
              </w:rPr>
              <w:t xml:space="preserve"> World Food Day, monthly breakfast club)</w:t>
            </w:r>
          </w:p>
          <w:p w14:paraId="0000006B" w14:textId="77777777" w:rsidR="00781DB6" w:rsidRDefault="00217602">
            <w:pPr>
              <w:numPr>
                <w:ilvl w:val="0"/>
                <w:numId w:val="4"/>
              </w:numPr>
              <w:spacing w:after="120"/>
              <w:rPr>
                <w:rFonts w:ascii="Arial" w:eastAsia="Arial" w:hAnsi="Arial" w:cs="Arial"/>
              </w:rPr>
            </w:pPr>
            <w:r>
              <w:rPr>
                <w:rFonts w:ascii="Arial" w:eastAsia="Arial" w:hAnsi="Arial" w:cs="Arial"/>
              </w:rPr>
              <w:t>how are links between the course and extra-curricular activities reinforced so as to provide students with aspiration and motivation</w:t>
            </w:r>
          </w:p>
        </w:tc>
      </w:tr>
      <w:tr w:rsidR="00781DB6" w14:paraId="58ECF9F0" w14:textId="77777777" w:rsidTr="00FC65BD">
        <w:tc>
          <w:tcPr>
            <w:tcW w:w="2805" w:type="dxa"/>
            <w:shd w:val="clear" w:color="auto" w:fill="DBE5F1"/>
          </w:tcPr>
          <w:p w14:paraId="0000006C" w14:textId="77777777" w:rsidR="00781DB6" w:rsidRDefault="00217602">
            <w:pPr>
              <w:spacing w:after="120"/>
              <w:rPr>
                <w:rFonts w:ascii="Arial" w:eastAsia="Arial" w:hAnsi="Arial" w:cs="Arial"/>
                <w:b/>
              </w:rPr>
            </w:pPr>
            <w:r>
              <w:rPr>
                <w:rFonts w:ascii="Arial" w:eastAsia="Arial" w:hAnsi="Arial" w:cs="Arial"/>
                <w:b/>
              </w:rPr>
              <w:lastRenderedPageBreak/>
              <w:t>student support</w:t>
            </w:r>
          </w:p>
        </w:tc>
        <w:tc>
          <w:tcPr>
            <w:tcW w:w="11430" w:type="dxa"/>
            <w:shd w:val="clear" w:color="auto" w:fill="DBE5F1"/>
          </w:tcPr>
          <w:p w14:paraId="0000006D" w14:textId="77777777" w:rsidR="00781DB6" w:rsidRDefault="00217602">
            <w:pPr>
              <w:numPr>
                <w:ilvl w:val="0"/>
                <w:numId w:val="21"/>
              </w:numPr>
              <w:rPr>
                <w:rFonts w:ascii="Arial" w:eastAsia="Arial" w:hAnsi="Arial" w:cs="Arial"/>
              </w:rPr>
            </w:pPr>
            <w:r>
              <w:rPr>
                <w:rFonts w:ascii="Arial" w:eastAsia="Arial" w:hAnsi="Arial" w:cs="Arial"/>
              </w:rPr>
              <w:t>how do you ensure students are aware of the support available to them and know the people who provide it</w:t>
            </w:r>
          </w:p>
          <w:p w14:paraId="0000006E" w14:textId="77777777" w:rsidR="00781DB6" w:rsidRDefault="00217602">
            <w:pPr>
              <w:numPr>
                <w:ilvl w:val="0"/>
                <w:numId w:val="21"/>
              </w:numPr>
              <w:spacing w:after="120"/>
              <w:rPr>
                <w:rFonts w:ascii="Arial" w:eastAsia="Arial" w:hAnsi="Arial" w:cs="Arial"/>
              </w:rPr>
            </w:pPr>
            <w:r>
              <w:rPr>
                <w:rFonts w:ascii="Arial" w:eastAsia="Arial" w:hAnsi="Arial" w:cs="Arial"/>
              </w:rPr>
              <w:t>how are students encouraged to take up available support (</w:t>
            </w:r>
            <w:proofErr w:type="spellStart"/>
            <w:r>
              <w:rPr>
                <w:rFonts w:ascii="Arial" w:eastAsia="Arial" w:hAnsi="Arial" w:cs="Arial"/>
              </w:rPr>
              <w:t>eg</w:t>
            </w:r>
            <w:proofErr w:type="spellEnd"/>
            <w:r>
              <w:rPr>
                <w:rFonts w:ascii="Arial" w:eastAsia="Arial" w:hAnsi="Arial" w:cs="Arial"/>
              </w:rPr>
              <w:t xml:space="preserve"> open door policy, drop-in workshops, lunch-time sessions with Year Level Tutors)</w:t>
            </w:r>
          </w:p>
        </w:tc>
      </w:tr>
    </w:tbl>
    <w:p w14:paraId="0000006F" w14:textId="77777777" w:rsidR="00781DB6" w:rsidRDefault="00781DB6">
      <w:pPr>
        <w:spacing w:after="120" w:line="240" w:lineRule="auto"/>
      </w:pPr>
    </w:p>
    <w:tbl>
      <w:tblPr>
        <w:tblStyle w:val="1"/>
        <w:tblW w:w="14250"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CC"/>
        <w:tblLayout w:type="fixed"/>
        <w:tblLook w:val="0420" w:firstRow="1" w:lastRow="0" w:firstColumn="0" w:lastColumn="0" w:noHBand="0" w:noVBand="1"/>
      </w:tblPr>
      <w:tblGrid>
        <w:gridCol w:w="2790"/>
        <w:gridCol w:w="11460"/>
      </w:tblGrid>
      <w:tr w:rsidR="00781DB6" w14:paraId="7A8F2E12" w14:textId="77777777" w:rsidTr="005365BF">
        <w:tc>
          <w:tcPr>
            <w:tcW w:w="14250" w:type="dxa"/>
            <w:gridSpan w:val="2"/>
            <w:shd w:val="clear" w:color="auto" w:fill="FFFFCC"/>
          </w:tcPr>
          <w:p w14:paraId="00000070" w14:textId="77777777" w:rsidR="00781DB6" w:rsidRDefault="00217602">
            <w:pPr>
              <w:pStyle w:val="Heading3"/>
              <w:jc w:val="center"/>
              <w:rPr>
                <w:rFonts w:ascii="Arial" w:eastAsia="Arial" w:hAnsi="Arial" w:cs="Arial"/>
              </w:rPr>
            </w:pPr>
            <w:r>
              <w:rPr>
                <w:rFonts w:ascii="Arial" w:eastAsia="Arial" w:hAnsi="Arial" w:cs="Arial"/>
              </w:rPr>
              <w:t>ACCESSIBILITY</w:t>
            </w:r>
          </w:p>
        </w:tc>
      </w:tr>
      <w:tr w:rsidR="00781DB6" w14:paraId="6EF6E1A9" w14:textId="77777777" w:rsidTr="005365BF">
        <w:tc>
          <w:tcPr>
            <w:tcW w:w="14250" w:type="dxa"/>
            <w:gridSpan w:val="2"/>
            <w:shd w:val="clear" w:color="auto" w:fill="FFFFCC"/>
          </w:tcPr>
          <w:p w14:paraId="00000072" w14:textId="77777777" w:rsidR="00781DB6" w:rsidRPr="005365BF" w:rsidRDefault="00217602">
            <w:pPr>
              <w:shd w:val="clear" w:color="auto" w:fill="FFFF99"/>
              <w:rPr>
                <w:rFonts w:ascii="Arial" w:eastAsia="Arial" w:hAnsi="Arial" w:cs="Arial"/>
              </w:rPr>
            </w:pPr>
            <w:r w:rsidRPr="005365BF">
              <w:rPr>
                <w:rFonts w:ascii="Arial" w:eastAsia="Arial" w:hAnsi="Arial" w:cs="Arial"/>
              </w:rPr>
              <w:t>Accessibility is about ensuring that all aspects of teaching, learning and assessment are accessible for all students, especially those with disabilities, visible or invisible. It includes attending to cultural, linguistic and cognitive access as well as physical and technological access.</w:t>
            </w:r>
            <w:r w:rsidRPr="005365BF">
              <w:rPr>
                <w:rFonts w:ascii="Arial" w:eastAsia="Arial" w:hAnsi="Arial" w:cs="Arial"/>
                <w:b/>
                <w:shd w:val="clear" w:color="auto" w:fill="FFFF99"/>
              </w:rPr>
              <w:tab/>
              <w:t xml:space="preserve">                                          </w:t>
            </w:r>
          </w:p>
        </w:tc>
      </w:tr>
      <w:tr w:rsidR="00781DB6" w14:paraId="50315C18" w14:textId="77777777" w:rsidTr="005365BF">
        <w:tc>
          <w:tcPr>
            <w:tcW w:w="2790" w:type="dxa"/>
            <w:shd w:val="clear" w:color="auto" w:fill="FFFFCC"/>
          </w:tcPr>
          <w:p w14:paraId="00000074" w14:textId="77777777" w:rsidR="00781DB6" w:rsidRDefault="00217602">
            <w:pPr>
              <w:spacing w:after="120"/>
              <w:rPr>
                <w:rFonts w:ascii="Arial" w:eastAsia="Arial" w:hAnsi="Arial" w:cs="Arial"/>
              </w:rPr>
            </w:pPr>
            <w:r>
              <w:rPr>
                <w:rFonts w:ascii="Arial" w:eastAsia="Arial" w:hAnsi="Arial" w:cs="Arial"/>
                <w:b/>
              </w:rPr>
              <w:t>Key Aspects</w:t>
            </w:r>
          </w:p>
        </w:tc>
        <w:tc>
          <w:tcPr>
            <w:tcW w:w="11460" w:type="dxa"/>
            <w:shd w:val="clear" w:color="auto" w:fill="FFFFCC"/>
          </w:tcPr>
          <w:p w14:paraId="00000075" w14:textId="77777777" w:rsidR="00781DB6" w:rsidRDefault="00217602">
            <w:pPr>
              <w:spacing w:after="120"/>
              <w:rPr>
                <w:rFonts w:ascii="Arial" w:eastAsia="Arial" w:hAnsi="Arial" w:cs="Arial"/>
                <w:color w:val="CC0000"/>
              </w:rPr>
            </w:pPr>
            <w:r>
              <w:rPr>
                <w:rFonts w:ascii="Arial" w:eastAsia="Arial" w:hAnsi="Arial" w:cs="Arial"/>
                <w:b/>
                <w:color w:val="CC0000"/>
              </w:rPr>
              <w:t>Provide a brief statement, consider the points below  (bullet points are to be deleted)</w:t>
            </w:r>
          </w:p>
        </w:tc>
      </w:tr>
      <w:tr w:rsidR="00781DB6" w14:paraId="18424FC8" w14:textId="77777777" w:rsidTr="005365BF">
        <w:tc>
          <w:tcPr>
            <w:tcW w:w="2790" w:type="dxa"/>
            <w:shd w:val="clear" w:color="auto" w:fill="FFFFCC"/>
          </w:tcPr>
          <w:p w14:paraId="00000076" w14:textId="77777777" w:rsidR="00781DB6" w:rsidRDefault="00217602">
            <w:pPr>
              <w:spacing w:after="120"/>
              <w:rPr>
                <w:rFonts w:ascii="Arial" w:eastAsia="Arial" w:hAnsi="Arial" w:cs="Arial"/>
                <w:b/>
              </w:rPr>
            </w:pPr>
            <w:r>
              <w:rPr>
                <w:rFonts w:ascii="Arial" w:eastAsia="Arial" w:hAnsi="Arial" w:cs="Arial"/>
                <w:b/>
              </w:rPr>
              <w:t>learning needs and styles</w:t>
            </w:r>
          </w:p>
        </w:tc>
        <w:tc>
          <w:tcPr>
            <w:tcW w:w="11460" w:type="dxa"/>
            <w:shd w:val="clear" w:color="auto" w:fill="FFFFCC"/>
          </w:tcPr>
          <w:p w14:paraId="00000077" w14:textId="77777777" w:rsidR="00781DB6" w:rsidRDefault="00217602">
            <w:pPr>
              <w:numPr>
                <w:ilvl w:val="0"/>
                <w:numId w:val="22"/>
              </w:numPr>
              <w:rPr>
                <w:rFonts w:ascii="Arial" w:eastAsia="Arial" w:hAnsi="Arial" w:cs="Arial"/>
              </w:rPr>
            </w:pPr>
            <w:r>
              <w:rPr>
                <w:rFonts w:ascii="Arial" w:eastAsia="Arial" w:hAnsi="Arial" w:cs="Arial"/>
              </w:rPr>
              <w:t>how does the scheduling of teaching take into account the needs and commitments of our students and their complex lives</w:t>
            </w:r>
          </w:p>
          <w:p w14:paraId="00000078" w14:textId="77777777" w:rsidR="00781DB6" w:rsidRDefault="00217602">
            <w:pPr>
              <w:numPr>
                <w:ilvl w:val="0"/>
                <w:numId w:val="22"/>
              </w:numPr>
              <w:spacing w:after="120"/>
              <w:rPr>
                <w:rFonts w:ascii="Arial" w:eastAsia="Arial" w:hAnsi="Arial" w:cs="Arial"/>
              </w:rPr>
            </w:pPr>
            <w:r>
              <w:rPr>
                <w:rFonts w:ascii="Arial" w:eastAsia="Arial" w:hAnsi="Arial" w:cs="Arial"/>
              </w:rPr>
              <w:t>what opportunities are there for choice and flexibility</w:t>
            </w:r>
          </w:p>
        </w:tc>
      </w:tr>
      <w:tr w:rsidR="00781DB6" w14:paraId="17C5B6E5" w14:textId="77777777" w:rsidTr="005365BF">
        <w:tc>
          <w:tcPr>
            <w:tcW w:w="2790" w:type="dxa"/>
            <w:shd w:val="clear" w:color="auto" w:fill="FFFFCC"/>
          </w:tcPr>
          <w:p w14:paraId="00000079" w14:textId="77777777" w:rsidR="00781DB6" w:rsidRDefault="00217602">
            <w:pPr>
              <w:spacing w:after="120"/>
              <w:rPr>
                <w:rFonts w:ascii="Arial" w:eastAsia="Arial" w:hAnsi="Arial" w:cs="Arial"/>
                <w:b/>
              </w:rPr>
            </w:pPr>
            <w:r>
              <w:rPr>
                <w:rFonts w:ascii="Arial" w:eastAsia="Arial" w:hAnsi="Arial" w:cs="Arial"/>
                <w:b/>
              </w:rPr>
              <w:t>online learning</w:t>
            </w:r>
          </w:p>
        </w:tc>
        <w:tc>
          <w:tcPr>
            <w:tcW w:w="11460" w:type="dxa"/>
            <w:shd w:val="clear" w:color="auto" w:fill="FFFFCC"/>
          </w:tcPr>
          <w:p w14:paraId="0000007A" w14:textId="77777777" w:rsidR="00781DB6" w:rsidRDefault="00217602">
            <w:pPr>
              <w:numPr>
                <w:ilvl w:val="0"/>
                <w:numId w:val="13"/>
              </w:numPr>
              <w:rPr>
                <w:rFonts w:ascii="Arial" w:eastAsia="Arial" w:hAnsi="Arial" w:cs="Arial"/>
              </w:rPr>
            </w:pPr>
            <w:r>
              <w:rPr>
                <w:rFonts w:ascii="Arial" w:eastAsia="Arial" w:hAnsi="Arial" w:cs="Arial"/>
              </w:rPr>
              <w:t>in what ways are you ensuring that online materials are accessible and provided in good time</w:t>
            </w:r>
          </w:p>
          <w:p w14:paraId="0000007B" w14:textId="77777777" w:rsidR="00781DB6" w:rsidRDefault="00217602">
            <w:pPr>
              <w:numPr>
                <w:ilvl w:val="0"/>
                <w:numId w:val="13"/>
              </w:numPr>
              <w:rPr>
                <w:rFonts w:ascii="Arial" w:eastAsia="Arial" w:hAnsi="Arial" w:cs="Arial"/>
              </w:rPr>
            </w:pPr>
            <w:r>
              <w:rPr>
                <w:rFonts w:ascii="Arial" w:eastAsia="Arial" w:hAnsi="Arial" w:cs="Arial"/>
              </w:rPr>
              <w:t>how are you supporting and developing students’ digital literacy</w:t>
            </w:r>
          </w:p>
          <w:p w14:paraId="0000007C" w14:textId="77777777" w:rsidR="00781DB6" w:rsidRDefault="00217602">
            <w:pPr>
              <w:numPr>
                <w:ilvl w:val="0"/>
                <w:numId w:val="13"/>
              </w:numPr>
              <w:spacing w:after="120"/>
              <w:rPr>
                <w:rFonts w:ascii="Arial" w:eastAsia="Arial" w:hAnsi="Arial" w:cs="Arial"/>
              </w:rPr>
            </w:pPr>
            <w:r>
              <w:rPr>
                <w:rFonts w:ascii="Arial" w:eastAsia="Arial" w:hAnsi="Arial" w:cs="Arial"/>
              </w:rPr>
              <w:t>could we introduce opportunities for “hybrid” delivery where some students can join live face-to-face sessions remotely if unable to be present (</w:t>
            </w:r>
            <w:proofErr w:type="spellStart"/>
            <w:r>
              <w:rPr>
                <w:rFonts w:ascii="Arial" w:eastAsia="Arial" w:hAnsi="Arial" w:cs="Arial"/>
              </w:rPr>
              <w:t>eg</w:t>
            </w:r>
            <w:proofErr w:type="spellEnd"/>
            <w:r>
              <w:rPr>
                <w:rFonts w:ascii="Arial" w:eastAsia="Arial" w:hAnsi="Arial" w:cs="Arial"/>
              </w:rPr>
              <w:t xml:space="preserve"> due to illness or caring responsibilities)</w:t>
            </w:r>
          </w:p>
        </w:tc>
      </w:tr>
    </w:tbl>
    <w:p w14:paraId="0000007D" w14:textId="77777777" w:rsidR="00781DB6" w:rsidRDefault="00781DB6">
      <w:pPr>
        <w:spacing w:after="120" w:line="240" w:lineRule="auto"/>
      </w:pPr>
    </w:p>
    <w:p w14:paraId="0000007E" w14:textId="77777777" w:rsidR="00781DB6" w:rsidRDefault="00781DB6"/>
    <w:sectPr w:rsidR="00781DB6" w:rsidSect="00846A27">
      <w:headerReference w:type="default" r:id="rId12"/>
      <w:footerReference w:type="default" r:id="rId13"/>
      <w:headerReference w:type="first" r:id="rId14"/>
      <w:footerReference w:type="first" r:id="rId15"/>
      <w:pgSz w:w="16840" w:h="11900" w:orient="landscape"/>
      <w:pgMar w:top="1440" w:right="1440" w:bottom="1440" w:left="1440" w:header="706" w:footer="70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1DB156" w14:textId="77777777" w:rsidR="00511E62" w:rsidRDefault="00511E62">
      <w:pPr>
        <w:spacing w:after="0" w:line="240" w:lineRule="auto"/>
      </w:pPr>
      <w:r>
        <w:separator/>
      </w:r>
    </w:p>
  </w:endnote>
  <w:endnote w:type="continuationSeparator" w:id="0">
    <w:p w14:paraId="5D51C3D5" w14:textId="77777777" w:rsidR="00511E62" w:rsidRDefault="00511E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80" w14:textId="0B5C830E" w:rsidR="00781DB6" w:rsidRPr="005A7F28" w:rsidRDefault="005A7F28" w:rsidP="005A7F28">
    <w:pPr>
      <w:pStyle w:val="Footer"/>
    </w:pPr>
    <w:r>
      <w:rPr>
        <w:color w:val="000000"/>
        <w:sz w:val="20"/>
        <w:szCs w:val="20"/>
      </w:rPr>
      <w:t>AQD011 Education for Social Justice Framework 202</w:t>
    </w:r>
    <w:r w:rsidR="00CB03E9">
      <w:rPr>
        <w:color w:val="000000"/>
        <w:sz w:val="20"/>
        <w:szCs w:val="20"/>
      </w:rPr>
      <w:t>4</w:t>
    </w:r>
    <w:r>
      <w:rPr>
        <w:color w:val="000000"/>
        <w:sz w:val="20"/>
        <w:szCs w:val="20"/>
      </w:rPr>
      <w:t>/202</w:t>
    </w:r>
    <w:sdt>
      <w:sdtPr>
        <w:rPr>
          <w:color w:val="000000"/>
          <w:sz w:val="20"/>
          <w:szCs w:val="20"/>
        </w:rPr>
        <w:id w:val="-1335214299"/>
        <w:docPartObj>
          <w:docPartGallery w:val="Page Numbers (Bottom of Page)"/>
          <w:docPartUnique/>
        </w:docPartObj>
      </w:sdtPr>
      <w:sdtEndPr/>
      <w:sdtContent>
        <w:r w:rsidR="00CB03E9" w:rsidRPr="00CB03E9">
          <w:rPr>
            <w:color w:val="000000"/>
            <w:sz w:val="20"/>
            <w:szCs w:val="20"/>
          </w:rPr>
          <w:t>5</w:t>
        </w:r>
        <w:r w:rsidRPr="00CB03E9">
          <w:rPr>
            <w:color w:val="000000"/>
            <w:sz w:val="20"/>
            <w:szCs w:val="20"/>
          </w:rPr>
          <w:tab/>
        </w:r>
        <w:r w:rsidRPr="00CB03E9">
          <w:rPr>
            <w:color w:val="000000"/>
            <w:sz w:val="20"/>
            <w:szCs w:val="20"/>
          </w:rPr>
          <w:tab/>
        </w:r>
        <w:r w:rsidRPr="00CB03E9">
          <w:rPr>
            <w:color w:val="000000"/>
            <w:sz w:val="20"/>
            <w:szCs w:val="20"/>
          </w:rPr>
          <w:tab/>
        </w:r>
        <w:r w:rsidRPr="00CB03E9">
          <w:rPr>
            <w:color w:val="000000"/>
            <w:sz w:val="20"/>
            <w:szCs w:val="20"/>
          </w:rPr>
          <w:tab/>
        </w:r>
        <w:r w:rsidRPr="00CB03E9">
          <w:rPr>
            <w:color w:val="000000"/>
            <w:sz w:val="20"/>
            <w:szCs w:val="20"/>
          </w:rPr>
          <w:tab/>
        </w:r>
        <w:r w:rsidRPr="00CB03E9">
          <w:rPr>
            <w:color w:val="000000"/>
            <w:sz w:val="20"/>
            <w:szCs w:val="20"/>
          </w:rPr>
          <w:fldChar w:fldCharType="begin"/>
        </w:r>
        <w:r w:rsidRPr="00CB03E9">
          <w:rPr>
            <w:color w:val="000000"/>
            <w:sz w:val="20"/>
            <w:szCs w:val="20"/>
          </w:rPr>
          <w:instrText xml:space="preserve"> PAGE   \* MERGEFORMAT </w:instrText>
        </w:r>
        <w:r w:rsidRPr="00CB03E9">
          <w:rPr>
            <w:color w:val="000000"/>
            <w:sz w:val="20"/>
            <w:szCs w:val="20"/>
          </w:rPr>
          <w:fldChar w:fldCharType="separate"/>
        </w:r>
        <w:r w:rsidRPr="00CB03E9">
          <w:rPr>
            <w:color w:val="000000"/>
            <w:sz w:val="20"/>
            <w:szCs w:val="20"/>
          </w:rPr>
          <w:t>1</w:t>
        </w:r>
        <w:r w:rsidRPr="00CB03E9">
          <w:rPr>
            <w:color w:val="000000"/>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993C58" w14:textId="562794B2" w:rsidR="005A7F28" w:rsidRDefault="005A7F28" w:rsidP="005A7F28">
    <w:pPr>
      <w:pStyle w:val="Footer"/>
    </w:pPr>
    <w:r>
      <w:rPr>
        <w:color w:val="000000"/>
        <w:sz w:val="20"/>
        <w:szCs w:val="20"/>
      </w:rPr>
      <w:t>AQD011 Education for Social Justice Framework 2021/2022</w:t>
    </w:r>
    <w:sdt>
      <w:sdtPr>
        <w:id w:val="-1091231248"/>
        <w:docPartObj>
          <w:docPartGallery w:val="Page Numbers (Bottom of Page)"/>
          <w:docPartUnique/>
        </w:docPartObj>
      </w:sdtPr>
      <w:sdtEndPr>
        <w:rPr>
          <w:noProof/>
        </w:rPr>
      </w:sdtEndPr>
      <w:sdtContent>
        <w:r>
          <w:tab/>
        </w:r>
        <w:r>
          <w:tab/>
        </w:r>
        <w:r>
          <w:tab/>
        </w:r>
        <w:r>
          <w:tab/>
        </w:r>
        <w:r>
          <w:tab/>
        </w:r>
        <w:r>
          <w:fldChar w:fldCharType="begin"/>
        </w:r>
        <w:r>
          <w:instrText xml:space="preserve"> PAGE   \* MERGEFORMAT </w:instrText>
        </w:r>
        <w:r>
          <w:fldChar w:fldCharType="separate"/>
        </w:r>
        <w:r>
          <w:rPr>
            <w:noProof/>
          </w:rPr>
          <w:t>2</w:t>
        </w:r>
        <w:r>
          <w:rPr>
            <w:noProof/>
          </w:rPr>
          <w:fldChar w:fldCharType="end"/>
        </w:r>
      </w:sdtContent>
    </w:sdt>
  </w:p>
  <w:p w14:paraId="00000081" w14:textId="240518E8" w:rsidR="00781DB6" w:rsidRDefault="00781DB6" w:rsidP="005A7F28">
    <w:pPr>
      <w:widowControl/>
      <w:pBdr>
        <w:top w:val="nil"/>
        <w:left w:val="nil"/>
        <w:bottom w:val="nil"/>
        <w:right w:val="nil"/>
        <w:between w:val="nil"/>
      </w:pBdr>
      <w:tabs>
        <w:tab w:val="center" w:pos="4320"/>
        <w:tab w:val="right" w:pos="8640"/>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DC3A5C" w14:textId="77777777" w:rsidR="00511E62" w:rsidRDefault="00511E62">
      <w:pPr>
        <w:spacing w:after="0" w:line="240" w:lineRule="auto"/>
      </w:pPr>
      <w:r>
        <w:separator/>
      </w:r>
    </w:p>
  </w:footnote>
  <w:footnote w:type="continuationSeparator" w:id="0">
    <w:p w14:paraId="30FF6508" w14:textId="77777777" w:rsidR="00511E62" w:rsidRDefault="00511E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31961F" w14:textId="03029358" w:rsidR="00846A27" w:rsidRDefault="00846A27">
    <w:pPr>
      <w:pStyle w:val="Header"/>
    </w:pPr>
    <w:r w:rsidRPr="00D748C5">
      <w:rPr>
        <w:rFonts w:asciiTheme="minorBidi" w:hAnsiTheme="minorBidi"/>
        <w:noProof/>
        <w:sz w:val="28"/>
        <w:szCs w:val="28"/>
        <w:lang w:eastAsia="en-GB"/>
      </w:rPr>
      <w:drawing>
        <wp:inline distT="0" distB="0" distL="0" distR="0" wp14:anchorId="14DB5B15" wp14:editId="77321AA2">
          <wp:extent cx="2162175" cy="552450"/>
          <wp:effectExtent l="0" t="0" r="9525" b="0"/>
          <wp:docPr id="3" name="Picture 3" descr="London Metropolitan&#10;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ndon Metropolitan&#10;University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62175" cy="5524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7F" w14:textId="77777777" w:rsidR="00781DB6" w:rsidRDefault="00217602">
    <w:pPr>
      <w:widowControl/>
      <w:pBdr>
        <w:top w:val="nil"/>
        <w:left w:val="nil"/>
        <w:bottom w:val="nil"/>
        <w:right w:val="nil"/>
        <w:between w:val="nil"/>
      </w:pBdr>
      <w:tabs>
        <w:tab w:val="center" w:pos="4320"/>
        <w:tab w:val="right" w:pos="8640"/>
      </w:tabs>
      <w:rPr>
        <w:rFonts w:ascii="Cambria" w:eastAsia="Cambria" w:hAnsi="Cambria" w:cs="Cambria"/>
        <w:color w:val="000000"/>
      </w:rPr>
    </w:pPr>
    <w:r>
      <w:rPr>
        <w:noProof/>
      </w:rPr>
      <w:drawing>
        <wp:anchor distT="0" distB="0" distL="114300" distR="114300" simplePos="0" relativeHeight="251658240" behindDoc="0" locked="0" layoutInCell="1" hidden="0" allowOverlap="1" wp14:anchorId="17587931" wp14:editId="791D7190">
          <wp:simplePos x="0" y="0"/>
          <wp:positionH relativeFrom="column">
            <wp:posOffset>-283208</wp:posOffset>
          </wp:positionH>
          <wp:positionV relativeFrom="paragraph">
            <wp:posOffset>-669923</wp:posOffset>
          </wp:positionV>
          <wp:extent cx="2160905" cy="554355"/>
          <wp:effectExtent l="0" t="0" r="0" b="0"/>
          <wp:wrapNone/>
          <wp:docPr id="1" name="image1.jp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 name="image1.jpg">
                    <a:extLst>
                      <a:ext uri="{C183D7F6-B498-43B3-948B-1728B52AA6E4}">
                        <adec:decorative xmlns:adec="http://schemas.microsoft.com/office/drawing/2017/decorative" val="1"/>
                      </a:ext>
                    </a:extLst>
                  </pic:cNvPr>
                  <pic:cNvPicPr preferRelativeResize="0"/>
                </pic:nvPicPr>
                <pic:blipFill>
                  <a:blip r:embed="rId1"/>
                  <a:srcRect/>
                  <a:stretch>
                    <a:fillRect/>
                  </a:stretch>
                </pic:blipFill>
                <pic:spPr>
                  <a:xfrm>
                    <a:off x="0" y="0"/>
                    <a:ext cx="2160905" cy="55435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83E66"/>
    <w:multiLevelType w:val="multilevel"/>
    <w:tmpl w:val="0FC414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855688F"/>
    <w:multiLevelType w:val="multilevel"/>
    <w:tmpl w:val="FA1458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EAF0DA1"/>
    <w:multiLevelType w:val="multilevel"/>
    <w:tmpl w:val="2C783D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1BB72CC"/>
    <w:multiLevelType w:val="multilevel"/>
    <w:tmpl w:val="9FA64F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2015EE1"/>
    <w:multiLevelType w:val="multilevel"/>
    <w:tmpl w:val="5A5CEA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650386E"/>
    <w:multiLevelType w:val="multilevel"/>
    <w:tmpl w:val="3170FB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F5A7CAC"/>
    <w:multiLevelType w:val="multilevel"/>
    <w:tmpl w:val="56D004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94B5397"/>
    <w:multiLevelType w:val="multilevel"/>
    <w:tmpl w:val="432C61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A79317F"/>
    <w:multiLevelType w:val="multilevel"/>
    <w:tmpl w:val="30EE68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9786FA1"/>
    <w:multiLevelType w:val="multilevel"/>
    <w:tmpl w:val="90544E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9D01824"/>
    <w:multiLevelType w:val="multilevel"/>
    <w:tmpl w:val="BF3252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B667CD5"/>
    <w:multiLevelType w:val="multilevel"/>
    <w:tmpl w:val="AEC685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E201DB3"/>
    <w:multiLevelType w:val="multilevel"/>
    <w:tmpl w:val="04D234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78B585E"/>
    <w:multiLevelType w:val="multilevel"/>
    <w:tmpl w:val="93C6B3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8536041"/>
    <w:multiLevelType w:val="multilevel"/>
    <w:tmpl w:val="E5AA4E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BBB6051"/>
    <w:multiLevelType w:val="multilevel"/>
    <w:tmpl w:val="ACAE24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A3655E2"/>
    <w:multiLevelType w:val="multilevel"/>
    <w:tmpl w:val="04D4A1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E2977D6"/>
    <w:multiLevelType w:val="multilevel"/>
    <w:tmpl w:val="283278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E6029F4"/>
    <w:multiLevelType w:val="multilevel"/>
    <w:tmpl w:val="744ADA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E6E3EBE"/>
    <w:multiLevelType w:val="multilevel"/>
    <w:tmpl w:val="86D87A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FCA5D81"/>
    <w:multiLevelType w:val="multilevel"/>
    <w:tmpl w:val="C0646F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72AC0C11"/>
    <w:multiLevelType w:val="multilevel"/>
    <w:tmpl w:val="164EF2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83963880">
    <w:abstractNumId w:val="10"/>
  </w:num>
  <w:num w:numId="2" w16cid:durableId="1618826641">
    <w:abstractNumId w:val="0"/>
  </w:num>
  <w:num w:numId="3" w16cid:durableId="672226348">
    <w:abstractNumId w:val="15"/>
  </w:num>
  <w:num w:numId="4" w16cid:durableId="231358930">
    <w:abstractNumId w:val="21"/>
  </w:num>
  <w:num w:numId="5" w16cid:durableId="1432814932">
    <w:abstractNumId w:val="2"/>
  </w:num>
  <w:num w:numId="6" w16cid:durableId="658575253">
    <w:abstractNumId w:val="7"/>
  </w:num>
  <w:num w:numId="7" w16cid:durableId="1540631531">
    <w:abstractNumId w:val="20"/>
  </w:num>
  <w:num w:numId="8" w16cid:durableId="1886790436">
    <w:abstractNumId w:val="19"/>
  </w:num>
  <w:num w:numId="9" w16cid:durableId="1556816447">
    <w:abstractNumId w:val="18"/>
  </w:num>
  <w:num w:numId="10" w16cid:durableId="361788781">
    <w:abstractNumId w:val="17"/>
  </w:num>
  <w:num w:numId="11" w16cid:durableId="1233395690">
    <w:abstractNumId w:val="8"/>
  </w:num>
  <w:num w:numId="12" w16cid:durableId="382676453">
    <w:abstractNumId w:val="1"/>
  </w:num>
  <w:num w:numId="13" w16cid:durableId="427309079">
    <w:abstractNumId w:val="12"/>
  </w:num>
  <w:num w:numId="14" w16cid:durableId="1932618084">
    <w:abstractNumId w:val="13"/>
  </w:num>
  <w:num w:numId="15" w16cid:durableId="86538481">
    <w:abstractNumId w:val="11"/>
  </w:num>
  <w:num w:numId="16" w16cid:durableId="1545826653">
    <w:abstractNumId w:val="3"/>
  </w:num>
  <w:num w:numId="17" w16cid:durableId="1873686904">
    <w:abstractNumId w:val="5"/>
  </w:num>
  <w:num w:numId="18" w16cid:durableId="1963491105">
    <w:abstractNumId w:val="16"/>
  </w:num>
  <w:num w:numId="19" w16cid:durableId="395903740">
    <w:abstractNumId w:val="4"/>
  </w:num>
  <w:num w:numId="20" w16cid:durableId="1935285293">
    <w:abstractNumId w:val="9"/>
  </w:num>
  <w:num w:numId="21" w16cid:durableId="95829527">
    <w:abstractNumId w:val="6"/>
  </w:num>
  <w:num w:numId="22" w16cid:durableId="9926865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144C77B"/>
    <w:rsid w:val="001D7E15"/>
    <w:rsid w:val="00217602"/>
    <w:rsid w:val="002B39D2"/>
    <w:rsid w:val="003A00E6"/>
    <w:rsid w:val="003D410A"/>
    <w:rsid w:val="004E5B8A"/>
    <w:rsid w:val="00511E62"/>
    <w:rsid w:val="005365BF"/>
    <w:rsid w:val="005A7F28"/>
    <w:rsid w:val="00632252"/>
    <w:rsid w:val="00657552"/>
    <w:rsid w:val="006901DE"/>
    <w:rsid w:val="006B231E"/>
    <w:rsid w:val="006E060B"/>
    <w:rsid w:val="0070580A"/>
    <w:rsid w:val="00781DB6"/>
    <w:rsid w:val="00806A48"/>
    <w:rsid w:val="00827F69"/>
    <w:rsid w:val="00846A27"/>
    <w:rsid w:val="008C2009"/>
    <w:rsid w:val="00940795"/>
    <w:rsid w:val="009A5BD2"/>
    <w:rsid w:val="00AB0752"/>
    <w:rsid w:val="00AF2E1D"/>
    <w:rsid w:val="00B65DE5"/>
    <w:rsid w:val="00BD7D83"/>
    <w:rsid w:val="00C22CD7"/>
    <w:rsid w:val="00CB03E9"/>
    <w:rsid w:val="00DE5196"/>
    <w:rsid w:val="00E5758F"/>
    <w:rsid w:val="00FC65BD"/>
    <w:rsid w:val="00FF2684"/>
    <w:rsid w:val="00FF4036"/>
    <w:rsid w:val="4C497640"/>
    <w:rsid w:val="5144C77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DFA3B7"/>
  <w15:docId w15:val="{BFD39AD9-8699-4A81-967D-A42AF7AAE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4"/>
        <w:szCs w:val="24"/>
        <w:lang w:val="en-GB" w:eastAsia="en-US" w:bidi="ar-SA"/>
      </w:rPr>
    </w:rPrDefault>
    <w:pPrDefault>
      <w:pPr>
        <w:widowControl w:val="0"/>
        <w:spacing w:after="24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pBdr>
        <w:top w:val="nil"/>
        <w:left w:val="nil"/>
        <w:bottom w:val="nil"/>
        <w:right w:val="nil"/>
        <w:between w:val="nil"/>
      </w:pBdr>
      <w:spacing w:line="240" w:lineRule="auto"/>
      <w:outlineLvl w:val="0"/>
    </w:pPr>
    <w:rPr>
      <w:b/>
      <w:color w:val="000000"/>
      <w:sz w:val="32"/>
      <w:szCs w:val="32"/>
    </w:rPr>
  </w:style>
  <w:style w:type="paragraph" w:styleId="Heading2">
    <w:name w:val="heading 2"/>
    <w:basedOn w:val="Normal"/>
    <w:next w:val="Normal"/>
    <w:uiPriority w:val="9"/>
    <w:unhideWhenUsed/>
    <w:qFormat/>
    <w:pPr>
      <w:pBdr>
        <w:top w:val="nil"/>
        <w:left w:val="nil"/>
        <w:bottom w:val="nil"/>
        <w:right w:val="nil"/>
        <w:between w:val="nil"/>
      </w:pBdr>
      <w:spacing w:line="240" w:lineRule="auto"/>
      <w:outlineLvl w:val="1"/>
    </w:pPr>
    <w:rPr>
      <w:b/>
      <w:color w:val="000000"/>
      <w:sz w:val="28"/>
      <w:szCs w:val="28"/>
    </w:rPr>
  </w:style>
  <w:style w:type="paragraph" w:styleId="Heading3">
    <w:name w:val="heading 3"/>
    <w:basedOn w:val="Normal"/>
    <w:next w:val="Normal"/>
    <w:uiPriority w:val="9"/>
    <w:unhideWhenUsed/>
    <w:qFormat/>
    <w:pPr>
      <w:spacing w:line="240" w:lineRule="auto"/>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top w:val="nil"/>
        <w:left w:val="nil"/>
        <w:bottom w:val="nil"/>
        <w:right w:val="nil"/>
        <w:between w:val="nil"/>
      </w:pBdr>
      <w:spacing w:line="240" w:lineRule="auto"/>
    </w:pPr>
    <w:rPr>
      <w:b/>
      <w:color w:val="000000"/>
      <w:sz w:val="48"/>
      <w:szCs w:val="4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7">
    <w:name w:val="7"/>
    <w:basedOn w:val="TableNormal"/>
    <w:pPr>
      <w:widowControl/>
      <w:spacing w:after="0" w:line="240" w:lineRule="auto"/>
    </w:pPr>
    <w:rPr>
      <w:rFonts w:ascii="Cambria" w:eastAsia="Cambria" w:hAnsi="Cambria" w:cs="Cambria"/>
      <w:sz w:val="22"/>
      <w:szCs w:val="22"/>
    </w:rPr>
    <w:tblPr>
      <w:tblStyleRowBandSize w:val="1"/>
      <w:tblStyleColBandSize w:val="1"/>
    </w:tblPr>
  </w:style>
  <w:style w:type="table" w:customStyle="1" w:styleId="6">
    <w:name w:val="6"/>
    <w:basedOn w:val="TableNormal"/>
    <w:pPr>
      <w:widowControl/>
      <w:spacing w:after="0" w:line="240" w:lineRule="auto"/>
    </w:pPr>
    <w:rPr>
      <w:rFonts w:ascii="Cambria" w:eastAsia="Cambria" w:hAnsi="Cambria" w:cs="Cambria"/>
      <w:sz w:val="22"/>
      <w:szCs w:val="22"/>
    </w:rPr>
    <w:tblPr>
      <w:tblStyleRowBandSize w:val="1"/>
      <w:tblStyleColBandSize w:val="1"/>
    </w:tblPr>
  </w:style>
  <w:style w:type="table" w:customStyle="1" w:styleId="5">
    <w:name w:val="5"/>
    <w:basedOn w:val="TableNormal"/>
    <w:pPr>
      <w:widowControl/>
      <w:spacing w:after="0" w:line="240" w:lineRule="auto"/>
    </w:pPr>
    <w:rPr>
      <w:rFonts w:ascii="Cambria" w:eastAsia="Cambria" w:hAnsi="Cambria" w:cs="Cambria"/>
      <w:sz w:val="22"/>
      <w:szCs w:val="22"/>
    </w:rPr>
    <w:tblPr>
      <w:tblStyleRowBandSize w:val="1"/>
      <w:tblStyleColBandSize w:val="1"/>
    </w:tblPr>
  </w:style>
  <w:style w:type="table" w:customStyle="1" w:styleId="4">
    <w:name w:val="4"/>
    <w:basedOn w:val="TableNormal"/>
    <w:pPr>
      <w:widowControl/>
      <w:spacing w:after="0" w:line="240" w:lineRule="auto"/>
    </w:pPr>
    <w:rPr>
      <w:rFonts w:ascii="Cambria" w:eastAsia="Cambria" w:hAnsi="Cambria" w:cs="Cambria"/>
      <w:sz w:val="22"/>
      <w:szCs w:val="22"/>
    </w:rPr>
    <w:tblPr>
      <w:tblStyleRowBandSize w:val="1"/>
      <w:tblStyleColBandSize w:val="1"/>
    </w:tblPr>
  </w:style>
  <w:style w:type="table" w:customStyle="1" w:styleId="3">
    <w:name w:val="3"/>
    <w:basedOn w:val="TableNormal"/>
    <w:pPr>
      <w:widowControl/>
      <w:spacing w:after="0" w:line="240" w:lineRule="auto"/>
    </w:pPr>
    <w:rPr>
      <w:rFonts w:ascii="Cambria" w:eastAsia="Cambria" w:hAnsi="Cambria" w:cs="Cambria"/>
      <w:sz w:val="22"/>
      <w:szCs w:val="22"/>
    </w:rPr>
    <w:tblPr>
      <w:tblStyleRowBandSize w:val="1"/>
      <w:tblStyleColBandSize w:val="1"/>
    </w:tblPr>
  </w:style>
  <w:style w:type="table" w:customStyle="1" w:styleId="2">
    <w:name w:val="2"/>
    <w:basedOn w:val="TableNormal"/>
    <w:pPr>
      <w:widowControl/>
      <w:spacing w:after="0" w:line="240" w:lineRule="auto"/>
    </w:pPr>
    <w:rPr>
      <w:rFonts w:ascii="Cambria" w:eastAsia="Cambria" w:hAnsi="Cambria" w:cs="Cambria"/>
      <w:sz w:val="22"/>
      <w:szCs w:val="22"/>
    </w:rPr>
    <w:tblPr>
      <w:tblStyleRowBandSize w:val="1"/>
      <w:tblStyleColBandSize w:val="1"/>
    </w:tblPr>
  </w:style>
  <w:style w:type="table" w:customStyle="1" w:styleId="1">
    <w:name w:val="1"/>
    <w:basedOn w:val="TableNormal"/>
    <w:pPr>
      <w:widowControl/>
      <w:spacing w:after="0" w:line="240" w:lineRule="auto"/>
    </w:pPr>
    <w:rPr>
      <w:rFonts w:ascii="Cambria" w:eastAsia="Cambria" w:hAnsi="Cambria" w:cs="Cambria"/>
      <w:sz w:val="22"/>
      <w:szCs w:val="22"/>
    </w:rPr>
    <w:tblPr>
      <w:tblStyleRowBandSize w:val="1"/>
      <w:tblStyleColBandSize w:val="1"/>
    </w:tblPr>
  </w:style>
  <w:style w:type="paragraph" w:styleId="Header">
    <w:name w:val="header"/>
    <w:basedOn w:val="Normal"/>
    <w:link w:val="HeaderChar"/>
    <w:uiPriority w:val="99"/>
    <w:unhideWhenUsed/>
    <w:rsid w:val="005A7F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7F28"/>
  </w:style>
  <w:style w:type="paragraph" w:styleId="Footer">
    <w:name w:val="footer"/>
    <w:basedOn w:val="Normal"/>
    <w:link w:val="FooterChar"/>
    <w:uiPriority w:val="99"/>
    <w:unhideWhenUsed/>
    <w:rsid w:val="005A7F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7F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B57A6B9722DE4484E0FABA265746B5" ma:contentTypeVersion="15" ma:contentTypeDescription="Create a new document." ma:contentTypeScope="" ma:versionID="b5ddc8900d9aa49d0d8bd328fe890872">
  <xsd:schema xmlns:xsd="http://www.w3.org/2001/XMLSchema" xmlns:xs="http://www.w3.org/2001/XMLSchema" xmlns:p="http://schemas.microsoft.com/office/2006/metadata/properties" xmlns:ns2="c19d9144-cbe3-4b5d-a710-46ada0e8ff40" xmlns:ns3="6c84a01b-aede-4370-8fa9-b7a959cab531" targetNamespace="http://schemas.microsoft.com/office/2006/metadata/properties" ma:root="true" ma:fieldsID="343fbcb505b74056861c0faa6f347213" ns2:_="" ns3:_="">
    <xsd:import namespace="c19d9144-cbe3-4b5d-a710-46ada0e8ff40"/>
    <xsd:import namespace="6c84a01b-aede-4370-8fa9-b7a959cab53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9d9144-cbe3-4b5d-a710-46ada0e8ff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157f23b-4936-4da1-b1a0-d7d41e84edc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84a01b-aede-4370-8fa9-b7a959cab53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e269b51-f8c1-43c8-a495-c2c0d4602cbd}" ma:internalName="TaxCatchAll" ma:showField="CatchAllData" ma:web="6c84a01b-aede-4370-8fa9-b7a959cab53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c84a01b-aede-4370-8fa9-b7a959cab531" xsi:nil="true"/>
    <lcf76f155ced4ddcb4097134ff3c332f xmlns="c19d9144-cbe3-4b5d-a710-46ada0e8ff4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DBF2D0-C9A3-491B-B014-960F50834D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9d9144-cbe3-4b5d-a710-46ada0e8ff40"/>
    <ds:schemaRef ds:uri="6c84a01b-aede-4370-8fa9-b7a959cab5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D558D3-A232-45DC-A529-6229FE1C20DD}">
  <ds:schemaRefs>
    <ds:schemaRef ds:uri="http://purl.org/dc/dcmitype/"/>
    <ds:schemaRef ds:uri="http://purl.org/dc/terms/"/>
    <ds:schemaRef ds:uri="c19d9144-cbe3-4b5d-a710-46ada0e8ff40"/>
    <ds:schemaRef ds:uri="http://schemas.microsoft.com/office/2006/documentManagement/types"/>
    <ds:schemaRef ds:uri="http://schemas.microsoft.com/office/infopath/2007/PartnerControls"/>
    <ds:schemaRef ds:uri="http://schemas.microsoft.com/office/2006/metadata/properties"/>
    <ds:schemaRef ds:uri="http://purl.org/dc/elements/1.1/"/>
    <ds:schemaRef ds:uri="http://schemas.openxmlformats.org/package/2006/metadata/core-properties"/>
    <ds:schemaRef ds:uri="6c84a01b-aede-4370-8fa9-b7a959cab531"/>
    <ds:schemaRef ds:uri="http://www.w3.org/XML/1998/namespace"/>
  </ds:schemaRefs>
</ds:datastoreItem>
</file>

<file path=customXml/itemProps3.xml><?xml version="1.0" encoding="utf-8"?>
<ds:datastoreItem xmlns:ds="http://schemas.openxmlformats.org/officeDocument/2006/customXml" ds:itemID="{8A84B246-8ECC-40FB-8505-C6C38CC144EE}">
  <ds:schemaRefs>
    <ds:schemaRef ds:uri="http://schemas.microsoft.com/sharepoint/v3/contenttype/forms"/>
  </ds:schemaRefs>
</ds:datastoreItem>
</file>

<file path=customXml/itemProps4.xml><?xml version="1.0" encoding="utf-8"?>
<ds:datastoreItem xmlns:ds="http://schemas.openxmlformats.org/officeDocument/2006/customXml" ds:itemID="{562585BA-A7C1-4707-B0D9-8B8E3F7A7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1432</Words>
  <Characters>8164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Costel Rusu</cp:lastModifiedBy>
  <cp:revision>12</cp:revision>
  <dcterms:created xsi:type="dcterms:W3CDTF">2023-07-03T11:59:00Z</dcterms:created>
  <dcterms:modified xsi:type="dcterms:W3CDTF">2024-08-30T13:34:00Z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0x010100DBB57A6B9722DE4484E0FABA265746B5</vt:lpwstr>
  </property>
  <property fmtid="{D5CDD505-2E9C-101B-9397-08002B2CF9AE}" pid="3" name="MediaServiceImageTags">
    <vt:lpwstr/>
  </property>
</Properties>
</file>