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94B5" w14:textId="77777777" w:rsidR="00EB7A6E" w:rsidRPr="00EB7A6E" w:rsidRDefault="00EB7A6E" w:rsidP="00EB7A6E">
      <w:pPr>
        <w:pStyle w:val="Heading1"/>
        <w:rPr>
          <w:sz w:val="28"/>
        </w:rPr>
      </w:pPr>
      <w:r w:rsidRPr="00EB7A6E">
        <w:rPr>
          <w:sz w:val="28"/>
        </w:rPr>
        <w:t xml:space="preserve">Research Ethics Sub Committee (RESC) Terms of Reference </w:t>
      </w:r>
    </w:p>
    <w:p w14:paraId="5836E3CE" w14:textId="77777777" w:rsidR="00EB7A6E" w:rsidRPr="00EB7A6E" w:rsidRDefault="00EB7A6E" w:rsidP="00EB7A6E">
      <w:pPr>
        <w:rPr>
          <w:rFonts w:ascii="Arial" w:hAnsi="Arial" w:cs="Arial"/>
        </w:rPr>
      </w:pPr>
    </w:p>
    <w:p w14:paraId="4CCE4002" w14:textId="77777777" w:rsidR="00EB7A6E" w:rsidRPr="00EB7A6E" w:rsidRDefault="00EB7A6E" w:rsidP="00EB7A6E">
      <w:pPr>
        <w:pStyle w:val="Heading2"/>
        <w:rPr>
          <w:sz w:val="24"/>
          <w:szCs w:val="24"/>
        </w:rPr>
      </w:pPr>
      <w:r w:rsidRPr="00EB7A6E">
        <w:rPr>
          <w:spacing w:val="-5"/>
          <w:w w:val="105"/>
          <w:sz w:val="24"/>
          <w:szCs w:val="24"/>
        </w:rPr>
        <w:t xml:space="preserve">Statement </w:t>
      </w:r>
      <w:r w:rsidRPr="00EB7A6E">
        <w:rPr>
          <w:spacing w:val="-3"/>
          <w:w w:val="105"/>
          <w:sz w:val="24"/>
          <w:szCs w:val="24"/>
        </w:rPr>
        <w:t xml:space="preserve">of </w:t>
      </w:r>
      <w:r w:rsidRPr="00EB7A6E">
        <w:rPr>
          <w:spacing w:val="-4"/>
          <w:w w:val="105"/>
          <w:sz w:val="24"/>
          <w:szCs w:val="24"/>
        </w:rPr>
        <w:t xml:space="preserve">primary </w:t>
      </w:r>
      <w:r w:rsidRPr="00EB7A6E">
        <w:rPr>
          <w:spacing w:val="-5"/>
          <w:w w:val="105"/>
          <w:sz w:val="24"/>
          <w:szCs w:val="24"/>
        </w:rPr>
        <w:t xml:space="preserve">responsibilities </w:t>
      </w:r>
      <w:r w:rsidRPr="00EB7A6E">
        <w:rPr>
          <w:spacing w:val="-3"/>
          <w:w w:val="105"/>
          <w:sz w:val="24"/>
          <w:szCs w:val="24"/>
        </w:rPr>
        <w:t xml:space="preserve">of the </w:t>
      </w:r>
      <w:r w:rsidRPr="00EB7A6E">
        <w:rPr>
          <w:sz w:val="24"/>
          <w:szCs w:val="24"/>
        </w:rPr>
        <w:t>Research Ethics Sub Committee (RESC)</w:t>
      </w:r>
    </w:p>
    <w:p w14:paraId="2870C394" w14:textId="331ACE90" w:rsidR="00EB7A6E" w:rsidRDefault="00EB7A6E" w:rsidP="00EB7A6E">
      <w:pPr>
        <w:rPr>
          <w:rFonts w:ascii="Arial" w:hAnsi="Arial" w:cs="Arial"/>
          <w:color w:val="000000" w:themeColor="text1"/>
          <w:shd w:val="clear" w:color="auto" w:fill="FFFFFF"/>
        </w:rPr>
      </w:pPr>
      <w:r w:rsidRPr="00EB7A6E">
        <w:rPr>
          <w:rFonts w:ascii="Arial" w:hAnsi="Arial" w:cs="Arial"/>
          <w:color w:val="000000" w:themeColor="text1"/>
          <w:shd w:val="clear" w:color="auto" w:fill="FFFFFF"/>
        </w:rPr>
        <w:t>The Sub Committee's main responsibility is to oversee and monitor the implementation of, and compliance with, the University's Policy &amp; Procedures for research ethics. The Sub-Committee also provides advice to the </w:t>
      </w:r>
      <w:r w:rsidRPr="00EB7A6E">
        <w:rPr>
          <w:rFonts w:ascii="Arial" w:eastAsia="SimSun" w:hAnsi="Arial" w:cs="Arial"/>
          <w:bCs/>
          <w:color w:val="000000" w:themeColor="text1"/>
          <w:shd w:val="clear" w:color="auto" w:fill="FFFFFF"/>
        </w:rPr>
        <w:t>Research</w:t>
      </w:r>
      <w:r w:rsidRPr="00EB7A6E">
        <w:rPr>
          <w:rFonts w:ascii="Arial" w:hAnsi="Arial" w:cs="Arial"/>
          <w:color w:val="000000" w:themeColor="text1"/>
        </w:rPr>
        <w:t xml:space="preserve"> and Knowledge Exchange Committee</w:t>
      </w:r>
      <w:r w:rsidRPr="00EB7A6E">
        <w:rPr>
          <w:rFonts w:ascii="Arial" w:hAnsi="Arial" w:cs="Arial"/>
          <w:color w:val="000000" w:themeColor="text1"/>
          <w:shd w:val="clear" w:color="auto" w:fill="FFFFFF"/>
        </w:rPr>
        <w:t> on the development of institutional policies and guidelines relating to ethical issues in research arising from teaching, research and other related institutional activities and monitors the external research ethics environment to ensure that the University responds to and is compliant with all external requirements.</w:t>
      </w:r>
    </w:p>
    <w:p w14:paraId="22069E2F" w14:textId="77777777" w:rsidR="00EB7A6E" w:rsidRPr="00EB7A6E" w:rsidRDefault="00EB7A6E" w:rsidP="00EB7A6E">
      <w:pPr>
        <w:rPr>
          <w:rFonts w:ascii="Arial" w:hAnsi="Arial" w:cs="Arial"/>
        </w:rPr>
      </w:pPr>
    </w:p>
    <w:p w14:paraId="72EF3C60" w14:textId="77777777" w:rsidR="00EB7A6E" w:rsidRPr="00EB7A6E" w:rsidRDefault="00EB7A6E" w:rsidP="00EB7A6E">
      <w:pPr>
        <w:pStyle w:val="Heading2"/>
        <w:rPr>
          <w:sz w:val="24"/>
          <w:szCs w:val="24"/>
        </w:rPr>
      </w:pPr>
      <w:r w:rsidRPr="00EB7A6E">
        <w:rPr>
          <w:sz w:val="24"/>
          <w:szCs w:val="24"/>
        </w:rPr>
        <w:t>Terms of Reference of the Research Ethics Sub Committee (RESC)</w:t>
      </w:r>
    </w:p>
    <w:p w14:paraId="5F5123D2" w14:textId="183BA5D0" w:rsidR="00EB7A6E" w:rsidRPr="00EB7A6E" w:rsidRDefault="00EB7A6E" w:rsidP="00457C4B">
      <w:pPr>
        <w:widowControl w:val="0"/>
        <w:tabs>
          <w:tab w:val="left" w:pos="4962"/>
        </w:tabs>
        <w:autoSpaceDE w:val="0"/>
        <w:autoSpaceDN w:val="0"/>
        <w:spacing w:before="120" w:after="120"/>
        <w:rPr>
          <w:rFonts w:ascii="Arial" w:hAnsi="Arial" w:cs="Arial"/>
        </w:rPr>
      </w:pPr>
      <w:r w:rsidRPr="00EB7A6E">
        <w:rPr>
          <w:rFonts w:ascii="Arial" w:hAnsi="Arial" w:cs="Arial"/>
        </w:rPr>
        <w:t>The Research and Knowledge Exchange committee has delegated the following responsibilities to the Research Ethics Sub Committee:</w:t>
      </w:r>
    </w:p>
    <w:p w14:paraId="3E69BAD6" w14:textId="35E3D813" w:rsidR="00EB7A6E" w:rsidRPr="00EB7A6E" w:rsidRDefault="00EB7A6E" w:rsidP="00EB7A6E">
      <w:pPr>
        <w:pStyle w:val="ListParagraph"/>
        <w:widowControl w:val="0"/>
        <w:numPr>
          <w:ilvl w:val="0"/>
          <w:numId w:val="7"/>
        </w:numPr>
        <w:tabs>
          <w:tab w:val="left" w:pos="469"/>
        </w:tabs>
        <w:autoSpaceDE w:val="0"/>
        <w:autoSpaceDN w:val="0"/>
        <w:ind w:right="783"/>
        <w:contextualSpacing w:val="0"/>
        <w:jc w:val="both"/>
        <w:rPr>
          <w:rFonts w:ascii="Arial" w:hAnsi="Arial" w:cs="Arial"/>
        </w:rPr>
      </w:pPr>
      <w:r w:rsidRPr="00EB7A6E">
        <w:rPr>
          <w:rFonts w:ascii="Arial" w:hAnsi="Arial" w:cs="Arial"/>
        </w:rPr>
        <w:t>To develop, monitor and oversee the implementation and revision of, as appropriate, policies, guidelines and procedures devised to ensure that research at the University is conducted according to ethical</w:t>
      </w:r>
      <w:r w:rsidRPr="00EB7A6E">
        <w:rPr>
          <w:rFonts w:ascii="Arial" w:hAnsi="Arial" w:cs="Arial"/>
          <w:spacing w:val="-32"/>
        </w:rPr>
        <w:t xml:space="preserve"> </w:t>
      </w:r>
      <w:r w:rsidRPr="00EB7A6E">
        <w:rPr>
          <w:rFonts w:ascii="Arial" w:hAnsi="Arial" w:cs="Arial"/>
        </w:rPr>
        <w:t>principles;</w:t>
      </w:r>
    </w:p>
    <w:p w14:paraId="79316826" w14:textId="77777777" w:rsidR="00EB7A6E" w:rsidRPr="00EB7A6E" w:rsidRDefault="00EB7A6E" w:rsidP="00EB7A6E">
      <w:pPr>
        <w:pStyle w:val="BodyText"/>
        <w:rPr>
          <w:sz w:val="24"/>
          <w:szCs w:val="24"/>
        </w:rPr>
      </w:pPr>
    </w:p>
    <w:p w14:paraId="777573C9" w14:textId="77777777" w:rsidR="00EB7A6E" w:rsidRPr="00EB7A6E" w:rsidRDefault="00EB7A6E" w:rsidP="00EB7A6E">
      <w:pPr>
        <w:pStyle w:val="ListParagraph"/>
        <w:widowControl w:val="0"/>
        <w:numPr>
          <w:ilvl w:val="0"/>
          <w:numId w:val="7"/>
        </w:numPr>
        <w:tabs>
          <w:tab w:val="left" w:pos="468"/>
        </w:tabs>
        <w:autoSpaceDE w:val="0"/>
        <w:autoSpaceDN w:val="0"/>
        <w:ind w:left="467" w:right="1063" w:hanging="357"/>
        <w:contextualSpacing w:val="0"/>
        <w:rPr>
          <w:rFonts w:ascii="Arial" w:hAnsi="Arial" w:cs="Arial"/>
        </w:rPr>
      </w:pPr>
      <w:r w:rsidRPr="00EB7A6E">
        <w:rPr>
          <w:rFonts w:ascii="Arial" w:hAnsi="Arial" w:cs="Arial"/>
        </w:rPr>
        <w:t>To oversee the activities of the Research Ethics Review Panels and to monitor recommendations of Research Ethics Review Panels on applications for research ethics approval submitted by members of staff and research degree students in schools;</w:t>
      </w:r>
    </w:p>
    <w:p w14:paraId="6FE7DB21" w14:textId="77777777" w:rsidR="00EB7A6E" w:rsidRPr="00EB7A6E" w:rsidRDefault="00EB7A6E" w:rsidP="00EB7A6E">
      <w:pPr>
        <w:pStyle w:val="BodyText"/>
        <w:spacing w:before="3"/>
        <w:rPr>
          <w:sz w:val="24"/>
          <w:szCs w:val="24"/>
        </w:rPr>
      </w:pPr>
    </w:p>
    <w:p w14:paraId="2CCE7D98" w14:textId="77777777" w:rsidR="00EB7A6E" w:rsidRPr="00EB7A6E" w:rsidRDefault="00EB7A6E" w:rsidP="00EB7A6E">
      <w:pPr>
        <w:pStyle w:val="ListParagraph"/>
        <w:widowControl w:val="0"/>
        <w:numPr>
          <w:ilvl w:val="0"/>
          <w:numId w:val="7"/>
        </w:numPr>
        <w:tabs>
          <w:tab w:val="left" w:pos="471"/>
        </w:tabs>
        <w:autoSpaceDE w:val="0"/>
        <w:autoSpaceDN w:val="0"/>
        <w:ind w:left="470" w:right="400" w:hanging="358"/>
        <w:contextualSpacing w:val="0"/>
        <w:rPr>
          <w:rFonts w:ascii="Arial" w:hAnsi="Arial" w:cs="Arial"/>
        </w:rPr>
      </w:pPr>
      <w:r w:rsidRPr="00EB7A6E">
        <w:rPr>
          <w:rFonts w:ascii="Arial" w:hAnsi="Arial" w:cs="Arial"/>
        </w:rPr>
        <w:t>To encourage and maintain good ethical practice in research within the University and to disseminate good practice across</w:t>
      </w:r>
      <w:r w:rsidRPr="00EB7A6E">
        <w:rPr>
          <w:rFonts w:ascii="Arial" w:hAnsi="Arial" w:cs="Arial"/>
          <w:spacing w:val="-32"/>
        </w:rPr>
        <w:t xml:space="preserve"> </w:t>
      </w:r>
      <w:r w:rsidRPr="00EB7A6E">
        <w:rPr>
          <w:rFonts w:ascii="Arial" w:hAnsi="Arial" w:cs="Arial"/>
        </w:rPr>
        <w:t>schools;</w:t>
      </w:r>
    </w:p>
    <w:p w14:paraId="08B50CC2" w14:textId="77777777" w:rsidR="00EB7A6E" w:rsidRPr="00EB7A6E" w:rsidRDefault="00EB7A6E" w:rsidP="00EB7A6E">
      <w:pPr>
        <w:pStyle w:val="BodyText"/>
        <w:rPr>
          <w:sz w:val="24"/>
          <w:szCs w:val="24"/>
        </w:rPr>
      </w:pPr>
    </w:p>
    <w:p w14:paraId="227E69B8" w14:textId="7E8DE36D" w:rsidR="00EB7A6E" w:rsidRPr="00EB7A6E" w:rsidRDefault="00EB7A6E" w:rsidP="00EB7A6E">
      <w:pPr>
        <w:pStyle w:val="ListParagraph"/>
        <w:widowControl w:val="0"/>
        <w:numPr>
          <w:ilvl w:val="0"/>
          <w:numId w:val="7"/>
        </w:numPr>
        <w:tabs>
          <w:tab w:val="left" w:pos="470"/>
        </w:tabs>
        <w:autoSpaceDE w:val="0"/>
        <w:autoSpaceDN w:val="0"/>
        <w:ind w:left="469" w:hanging="357"/>
        <w:contextualSpacing w:val="0"/>
        <w:rPr>
          <w:rFonts w:ascii="Arial" w:hAnsi="Arial" w:cs="Arial"/>
        </w:rPr>
      </w:pPr>
      <w:r w:rsidRPr="00EB7A6E">
        <w:rPr>
          <w:rFonts w:ascii="Arial" w:hAnsi="Arial" w:cs="Arial"/>
        </w:rPr>
        <w:t>To</w:t>
      </w:r>
      <w:r w:rsidRPr="00EB7A6E">
        <w:rPr>
          <w:rFonts w:ascii="Arial" w:hAnsi="Arial" w:cs="Arial"/>
          <w:spacing w:val="-5"/>
        </w:rPr>
        <w:t xml:space="preserve"> </w:t>
      </w:r>
      <w:r w:rsidRPr="00EB7A6E">
        <w:rPr>
          <w:rFonts w:ascii="Arial" w:hAnsi="Arial" w:cs="Arial"/>
        </w:rPr>
        <w:t>advise,</w:t>
      </w:r>
      <w:r w:rsidRPr="00EB7A6E">
        <w:rPr>
          <w:rFonts w:ascii="Arial" w:hAnsi="Arial" w:cs="Arial"/>
          <w:spacing w:val="-1"/>
        </w:rPr>
        <w:t xml:space="preserve"> </w:t>
      </w:r>
      <w:r w:rsidRPr="00EB7A6E">
        <w:rPr>
          <w:rFonts w:ascii="Arial" w:hAnsi="Arial" w:cs="Arial"/>
        </w:rPr>
        <w:t>as</w:t>
      </w:r>
      <w:r w:rsidRPr="00EB7A6E">
        <w:rPr>
          <w:rFonts w:ascii="Arial" w:hAnsi="Arial" w:cs="Arial"/>
          <w:spacing w:val="-2"/>
        </w:rPr>
        <w:t xml:space="preserve"> </w:t>
      </w:r>
      <w:r w:rsidRPr="00EB7A6E">
        <w:rPr>
          <w:rFonts w:ascii="Arial" w:hAnsi="Arial" w:cs="Arial"/>
        </w:rPr>
        <w:t>appropriate,</w:t>
      </w:r>
      <w:r w:rsidRPr="00EB7A6E">
        <w:rPr>
          <w:rFonts w:ascii="Arial" w:hAnsi="Arial" w:cs="Arial"/>
          <w:spacing w:val="-1"/>
        </w:rPr>
        <w:t xml:space="preserve"> </w:t>
      </w:r>
      <w:r w:rsidRPr="00EB7A6E">
        <w:rPr>
          <w:rFonts w:ascii="Arial" w:hAnsi="Arial" w:cs="Arial"/>
        </w:rPr>
        <w:t>on</w:t>
      </w:r>
      <w:r w:rsidRPr="00EB7A6E">
        <w:rPr>
          <w:rFonts w:ascii="Arial" w:hAnsi="Arial" w:cs="Arial"/>
          <w:spacing w:val="-5"/>
        </w:rPr>
        <w:t xml:space="preserve"> </w:t>
      </w:r>
      <w:r w:rsidRPr="00EB7A6E">
        <w:rPr>
          <w:rFonts w:ascii="Arial" w:hAnsi="Arial" w:cs="Arial"/>
        </w:rPr>
        <w:t>matters</w:t>
      </w:r>
      <w:r w:rsidRPr="00EB7A6E">
        <w:rPr>
          <w:rFonts w:ascii="Arial" w:hAnsi="Arial" w:cs="Arial"/>
          <w:spacing w:val="-5"/>
        </w:rPr>
        <w:t xml:space="preserve"> </w:t>
      </w:r>
      <w:r w:rsidRPr="00EB7A6E">
        <w:rPr>
          <w:rFonts w:ascii="Arial" w:hAnsi="Arial" w:cs="Arial"/>
        </w:rPr>
        <w:t>referred</w:t>
      </w:r>
      <w:r w:rsidRPr="00EB7A6E">
        <w:rPr>
          <w:rFonts w:ascii="Arial" w:hAnsi="Arial" w:cs="Arial"/>
          <w:spacing w:val="-5"/>
        </w:rPr>
        <w:t xml:space="preserve"> </w:t>
      </w:r>
      <w:r w:rsidRPr="00EB7A6E">
        <w:rPr>
          <w:rFonts w:ascii="Arial" w:hAnsi="Arial" w:cs="Arial"/>
        </w:rPr>
        <w:t>to</w:t>
      </w:r>
      <w:r w:rsidRPr="00EB7A6E">
        <w:rPr>
          <w:rFonts w:ascii="Arial" w:hAnsi="Arial" w:cs="Arial"/>
          <w:spacing w:val="-5"/>
        </w:rPr>
        <w:t xml:space="preserve"> </w:t>
      </w:r>
      <w:r w:rsidRPr="00EB7A6E">
        <w:rPr>
          <w:rFonts w:ascii="Arial" w:hAnsi="Arial" w:cs="Arial"/>
        </w:rPr>
        <w:t>it</w:t>
      </w:r>
      <w:r w:rsidRPr="00EB7A6E">
        <w:rPr>
          <w:rFonts w:ascii="Arial" w:hAnsi="Arial" w:cs="Arial"/>
          <w:spacing w:val="-1"/>
        </w:rPr>
        <w:t xml:space="preserve"> </w:t>
      </w:r>
      <w:r w:rsidRPr="00EB7A6E">
        <w:rPr>
          <w:rFonts w:ascii="Arial" w:hAnsi="Arial" w:cs="Arial"/>
        </w:rPr>
        <w:t>by</w:t>
      </w:r>
      <w:r w:rsidRPr="00EB7A6E">
        <w:rPr>
          <w:rFonts w:ascii="Arial" w:hAnsi="Arial" w:cs="Arial"/>
          <w:spacing w:val="-5"/>
        </w:rPr>
        <w:t xml:space="preserve"> </w:t>
      </w:r>
      <w:r w:rsidRPr="00EB7A6E">
        <w:rPr>
          <w:rFonts w:ascii="Arial" w:hAnsi="Arial" w:cs="Arial"/>
        </w:rPr>
        <w:t>Research</w:t>
      </w:r>
      <w:r w:rsidRPr="00EB7A6E">
        <w:rPr>
          <w:rFonts w:ascii="Arial" w:hAnsi="Arial" w:cs="Arial"/>
          <w:spacing w:val="-5"/>
        </w:rPr>
        <w:t xml:space="preserve"> </w:t>
      </w:r>
      <w:r w:rsidRPr="00EB7A6E">
        <w:rPr>
          <w:rFonts w:ascii="Arial" w:hAnsi="Arial" w:cs="Arial"/>
        </w:rPr>
        <w:t>Ethics</w:t>
      </w:r>
      <w:r w:rsidRPr="00EB7A6E">
        <w:rPr>
          <w:rFonts w:ascii="Arial" w:hAnsi="Arial" w:cs="Arial"/>
          <w:spacing w:val="-2"/>
        </w:rPr>
        <w:t xml:space="preserve"> </w:t>
      </w:r>
      <w:r w:rsidRPr="00EB7A6E">
        <w:rPr>
          <w:rFonts w:ascii="Arial" w:hAnsi="Arial" w:cs="Arial"/>
        </w:rPr>
        <w:t>Review</w:t>
      </w:r>
      <w:r w:rsidRPr="00EB7A6E">
        <w:rPr>
          <w:rFonts w:ascii="Arial" w:hAnsi="Arial" w:cs="Arial"/>
          <w:spacing w:val="-38"/>
        </w:rPr>
        <w:t xml:space="preserve"> </w:t>
      </w:r>
      <w:r w:rsidRPr="00EB7A6E">
        <w:rPr>
          <w:rFonts w:ascii="Arial" w:hAnsi="Arial" w:cs="Arial"/>
        </w:rPr>
        <w:t>Panels;</w:t>
      </w:r>
    </w:p>
    <w:p w14:paraId="66AA6D31" w14:textId="77777777" w:rsidR="00EB7A6E" w:rsidRPr="00EB7A6E" w:rsidRDefault="00EB7A6E" w:rsidP="00EB7A6E">
      <w:pPr>
        <w:pStyle w:val="BodyText"/>
        <w:spacing w:before="1"/>
        <w:rPr>
          <w:sz w:val="24"/>
          <w:szCs w:val="24"/>
        </w:rPr>
      </w:pPr>
    </w:p>
    <w:p w14:paraId="332BD73B" w14:textId="1119B6E9" w:rsidR="00EB7A6E" w:rsidRDefault="00EB7A6E" w:rsidP="00EB7A6E">
      <w:pPr>
        <w:pStyle w:val="ListParagraph"/>
        <w:widowControl w:val="0"/>
        <w:numPr>
          <w:ilvl w:val="0"/>
          <w:numId w:val="7"/>
        </w:numPr>
        <w:tabs>
          <w:tab w:val="left" w:pos="470"/>
        </w:tabs>
        <w:autoSpaceDE w:val="0"/>
        <w:autoSpaceDN w:val="0"/>
        <w:ind w:left="469" w:right="366" w:hanging="358"/>
        <w:contextualSpacing w:val="0"/>
        <w:rPr>
          <w:rFonts w:ascii="Arial" w:hAnsi="Arial" w:cs="Arial"/>
        </w:rPr>
      </w:pPr>
      <w:r w:rsidRPr="00EB7A6E">
        <w:rPr>
          <w:rFonts w:ascii="Arial" w:hAnsi="Arial" w:cs="Arial"/>
        </w:rPr>
        <w:t>To take decisions on applications for ethical approval, in those areas referred to the Sub- Committee by a Research Ethics Review Panel and to take decisions in cases where an applicant for ethics approval appeals against the decision of a Research Ethics Review Panel.</w:t>
      </w:r>
    </w:p>
    <w:p w14:paraId="33ECB186" w14:textId="77777777" w:rsidR="00EB7A6E" w:rsidRPr="00EB7A6E" w:rsidRDefault="00EB7A6E" w:rsidP="00EB7A6E">
      <w:pPr>
        <w:rPr>
          <w:rFonts w:ascii="Arial" w:hAnsi="Arial" w:cs="Arial"/>
          <w:b/>
          <w:lang w:val="en-US"/>
        </w:rPr>
      </w:pPr>
    </w:p>
    <w:p w14:paraId="1A633946" w14:textId="77777777" w:rsidR="00EB7A6E" w:rsidRPr="00EB7A6E" w:rsidRDefault="00EB7A6E" w:rsidP="00EB7A6E">
      <w:pPr>
        <w:pStyle w:val="Heading2"/>
        <w:rPr>
          <w:sz w:val="24"/>
          <w:szCs w:val="24"/>
          <w:lang w:val="en-US"/>
        </w:rPr>
      </w:pPr>
      <w:r w:rsidRPr="00EB7A6E">
        <w:rPr>
          <w:sz w:val="24"/>
          <w:szCs w:val="24"/>
          <w:lang w:val="en-US"/>
        </w:rPr>
        <w:t>Quorum</w:t>
      </w:r>
    </w:p>
    <w:p w14:paraId="59B1BA5C" w14:textId="6EF0F75F" w:rsidR="00EB7A6E" w:rsidRPr="00EB7A6E" w:rsidRDefault="00EB7A6E" w:rsidP="00EB7A6E">
      <w:pPr>
        <w:tabs>
          <w:tab w:val="left" w:pos="2250"/>
        </w:tabs>
        <w:rPr>
          <w:rFonts w:ascii="Arial" w:hAnsi="Arial" w:cs="Arial"/>
        </w:rPr>
      </w:pPr>
      <w:r w:rsidRPr="00EB7A6E">
        <w:rPr>
          <w:rFonts w:ascii="Arial" w:hAnsi="Arial" w:cs="Arial"/>
        </w:rPr>
        <w:t>The meeting is quorate when at least 50% (4) members attend.</w:t>
      </w:r>
    </w:p>
    <w:p w14:paraId="65AA1094" w14:textId="77777777" w:rsidR="00EB7A6E" w:rsidRPr="00EB7A6E" w:rsidRDefault="00EB7A6E" w:rsidP="00EB7A6E">
      <w:pPr>
        <w:rPr>
          <w:rFonts w:ascii="Arial" w:hAnsi="Arial" w:cs="Arial"/>
          <w:b/>
          <w:lang w:val="en-US"/>
        </w:rPr>
      </w:pPr>
    </w:p>
    <w:p w14:paraId="484AE731" w14:textId="77777777" w:rsidR="00EB7A6E" w:rsidRPr="00EB7A6E" w:rsidRDefault="00EB7A6E" w:rsidP="00EB7A6E">
      <w:pPr>
        <w:pStyle w:val="Heading2"/>
        <w:rPr>
          <w:sz w:val="24"/>
          <w:szCs w:val="24"/>
          <w:lang w:val="en-US"/>
        </w:rPr>
      </w:pPr>
      <w:r w:rsidRPr="00EB7A6E">
        <w:rPr>
          <w:sz w:val="24"/>
          <w:szCs w:val="24"/>
          <w:lang w:val="en-US"/>
        </w:rPr>
        <w:t>Reporting</w:t>
      </w:r>
    </w:p>
    <w:p w14:paraId="56A04DD4" w14:textId="4CC3A156" w:rsidR="00EB7A6E" w:rsidRDefault="00EB7A6E" w:rsidP="00457C4B">
      <w:pPr>
        <w:rPr>
          <w:rFonts w:ascii="Arial" w:hAnsi="Arial" w:cs="Arial"/>
          <w:lang w:val="en-US"/>
        </w:rPr>
      </w:pPr>
      <w:r w:rsidRPr="00EB7A6E">
        <w:rPr>
          <w:rFonts w:ascii="Arial" w:hAnsi="Arial" w:cs="Arial"/>
          <w:lang w:val="en-US"/>
        </w:rPr>
        <w:t>A report of each meeting of the Research Ethics Sub Committee will be presented to the Research and Knowledge Exchange Committee.</w:t>
      </w:r>
    </w:p>
    <w:p w14:paraId="08113C1C" w14:textId="77777777" w:rsidR="00457C4B" w:rsidRPr="00EB7A6E" w:rsidRDefault="00457C4B" w:rsidP="00457C4B">
      <w:pPr>
        <w:rPr>
          <w:rFonts w:ascii="Arial" w:hAnsi="Arial" w:cs="Arial"/>
          <w:lang w:val="en-US"/>
        </w:rPr>
      </w:pPr>
    </w:p>
    <w:p w14:paraId="5ED6B3E0" w14:textId="77777777" w:rsidR="00EB7A6E" w:rsidRPr="00EB7A6E" w:rsidRDefault="00EB7A6E" w:rsidP="00EB7A6E">
      <w:pPr>
        <w:pStyle w:val="Heading2"/>
        <w:rPr>
          <w:sz w:val="24"/>
          <w:szCs w:val="24"/>
          <w:lang w:val="en-US"/>
        </w:rPr>
      </w:pPr>
      <w:r w:rsidRPr="00EB7A6E">
        <w:rPr>
          <w:sz w:val="24"/>
          <w:szCs w:val="24"/>
          <w:lang w:val="en-US"/>
        </w:rPr>
        <w:t xml:space="preserve">Frequency of meetings </w:t>
      </w:r>
    </w:p>
    <w:p w14:paraId="6DBF8DDC" w14:textId="77777777" w:rsidR="00EB7A6E" w:rsidRPr="00EB7A6E" w:rsidRDefault="00EB7A6E" w:rsidP="00EB7A6E">
      <w:pPr>
        <w:rPr>
          <w:rFonts w:ascii="Arial" w:hAnsi="Arial" w:cs="Arial"/>
          <w:lang w:val="en-US"/>
        </w:rPr>
      </w:pPr>
      <w:r w:rsidRPr="00EB7A6E">
        <w:rPr>
          <w:rFonts w:ascii="Arial" w:hAnsi="Arial" w:cs="Arial"/>
          <w:lang w:val="en-US"/>
        </w:rPr>
        <w:t>RESC meets 3 times per year. Meetings are normally scheduled for 1 hour, following on immediately from Research Degrees Sub Committee (RDSC) meetings.  This arrangement is convenient for those staff who are members of both sub-committees and has improved attendance rates for RESC. Additional meetings or cancellations will be at the discretion of the Chair.</w:t>
      </w:r>
    </w:p>
    <w:p w14:paraId="68B229EE" w14:textId="77777777" w:rsidR="00EB7A6E" w:rsidRPr="00EB7A6E" w:rsidRDefault="00EB7A6E" w:rsidP="00EB7A6E">
      <w:pPr>
        <w:pStyle w:val="BodyText3"/>
        <w:rPr>
          <w:rFonts w:ascii="Arial" w:hAnsi="Arial" w:cs="Arial"/>
          <w:sz w:val="24"/>
          <w:szCs w:val="24"/>
          <w:lang w:val="en-US"/>
        </w:rPr>
      </w:pPr>
    </w:p>
    <w:p w14:paraId="15FF76CA" w14:textId="77777777" w:rsidR="00EB7A6E" w:rsidRPr="00EB7A6E" w:rsidRDefault="00EB7A6E" w:rsidP="00EB7A6E">
      <w:pPr>
        <w:pStyle w:val="Heading2"/>
        <w:rPr>
          <w:sz w:val="24"/>
          <w:szCs w:val="24"/>
          <w:lang w:val="en-US"/>
        </w:rPr>
      </w:pPr>
      <w:r w:rsidRPr="00EB7A6E">
        <w:rPr>
          <w:sz w:val="24"/>
          <w:szCs w:val="24"/>
          <w:lang w:val="en-US"/>
        </w:rPr>
        <w:t>Method of operation</w:t>
      </w:r>
    </w:p>
    <w:p w14:paraId="047CE95F" w14:textId="77777777" w:rsidR="00EB7A6E" w:rsidRPr="00EB7A6E" w:rsidRDefault="00EB7A6E" w:rsidP="00EB7A6E">
      <w:pPr>
        <w:pStyle w:val="BodyText3"/>
        <w:rPr>
          <w:rFonts w:ascii="Arial" w:hAnsi="Arial" w:cs="Arial"/>
          <w:sz w:val="24"/>
          <w:szCs w:val="24"/>
          <w:lang w:val="en-US"/>
        </w:rPr>
      </w:pPr>
      <w:r w:rsidRPr="00EB7A6E">
        <w:rPr>
          <w:rFonts w:ascii="Arial" w:hAnsi="Arial" w:cs="Arial"/>
          <w:sz w:val="24"/>
          <w:szCs w:val="24"/>
          <w:lang w:val="en-US"/>
        </w:rPr>
        <w:t xml:space="preserve">The chairs of each Research Ethics Review Panel (RERP) is to provide a report, detailing the membership of the school’s RERP, the number of applications received and their outcomes. RERP chairs may also provide up to 2 </w:t>
      </w:r>
      <w:proofErr w:type="spellStart"/>
      <w:r w:rsidRPr="00EB7A6E">
        <w:rPr>
          <w:rFonts w:ascii="Arial" w:hAnsi="Arial" w:cs="Arial"/>
          <w:sz w:val="24"/>
          <w:szCs w:val="24"/>
          <w:lang w:val="en-US"/>
        </w:rPr>
        <w:t>anonymised</w:t>
      </w:r>
      <w:proofErr w:type="spellEnd"/>
      <w:r w:rsidRPr="00EB7A6E">
        <w:rPr>
          <w:rFonts w:ascii="Arial" w:hAnsi="Arial" w:cs="Arial"/>
          <w:sz w:val="24"/>
          <w:szCs w:val="24"/>
          <w:lang w:val="en-US"/>
        </w:rPr>
        <w:t xml:space="preserve"> applications (Research Ethics Application Forms) for sampling and discussion.  </w:t>
      </w:r>
    </w:p>
    <w:p w14:paraId="471187A6" w14:textId="77777777" w:rsidR="00EB7A6E" w:rsidRPr="00EB7A6E" w:rsidRDefault="00EB7A6E" w:rsidP="00EB7A6E">
      <w:pPr>
        <w:pStyle w:val="BodyText3"/>
        <w:rPr>
          <w:rFonts w:ascii="Arial" w:hAnsi="Arial" w:cs="Arial"/>
          <w:sz w:val="24"/>
          <w:szCs w:val="24"/>
          <w:lang w:val="en-US"/>
        </w:rPr>
      </w:pPr>
      <w:r w:rsidRPr="00EB7A6E">
        <w:rPr>
          <w:rFonts w:ascii="Arial" w:hAnsi="Arial" w:cs="Arial"/>
          <w:sz w:val="24"/>
          <w:szCs w:val="24"/>
          <w:lang w:val="en-US"/>
        </w:rPr>
        <w:t>Where a RERP is unable to reach a decision on an application, or where an applicant wishes to appeal against the RERP’s decision, the application should be referred to the RESC, via the RESC Chair.</w:t>
      </w:r>
    </w:p>
    <w:p w14:paraId="068DD69B" w14:textId="77777777" w:rsidR="00EB7A6E" w:rsidRPr="00EB7A6E" w:rsidRDefault="00EB7A6E" w:rsidP="00EB7A6E">
      <w:pPr>
        <w:rPr>
          <w:rFonts w:ascii="Arial" w:hAnsi="Arial" w:cs="Arial"/>
          <w:b/>
        </w:rPr>
      </w:pPr>
    </w:p>
    <w:p w14:paraId="0A6EAFFC" w14:textId="54C21D1E" w:rsidR="00EB7A6E" w:rsidRPr="00EB7A6E" w:rsidRDefault="00EB7A6E" w:rsidP="00EB7A6E">
      <w:pPr>
        <w:pStyle w:val="Heading2"/>
        <w:rPr>
          <w:sz w:val="24"/>
          <w:szCs w:val="24"/>
        </w:rPr>
      </w:pPr>
      <w:r w:rsidRPr="00EB7A6E">
        <w:rPr>
          <w:sz w:val="24"/>
          <w:szCs w:val="24"/>
        </w:rPr>
        <w:t>Membership of the Research Ethics Sub Committee (RESC), May 20</w:t>
      </w:r>
      <w:r>
        <w:rPr>
          <w:sz w:val="24"/>
          <w:szCs w:val="24"/>
        </w:rPr>
        <w:t>21</w:t>
      </w:r>
    </w:p>
    <w:tbl>
      <w:tblPr>
        <w:tblStyle w:val="TableGrid"/>
        <w:tblW w:w="0" w:type="auto"/>
        <w:tblLook w:val="04A0" w:firstRow="1" w:lastRow="0" w:firstColumn="1" w:lastColumn="0" w:noHBand="0" w:noVBand="1"/>
        <w:tblCaption w:val="Membership details of the Research Ethics Sub Committee (RESC)"/>
        <w:tblDescription w:val="The table lists the Membership Category, Current Member and their term of office details."/>
      </w:tblPr>
      <w:tblGrid>
        <w:gridCol w:w="3681"/>
        <w:gridCol w:w="2977"/>
        <w:gridCol w:w="2126"/>
      </w:tblGrid>
      <w:tr w:rsidR="00202AB4" w:rsidRPr="00EB7A6E" w14:paraId="549B8975" w14:textId="77777777" w:rsidTr="00202AB4">
        <w:tc>
          <w:tcPr>
            <w:tcW w:w="3681" w:type="dxa"/>
            <w:shd w:val="clear" w:color="auto" w:fill="F2F2F2" w:themeFill="background1" w:themeFillShade="F2"/>
          </w:tcPr>
          <w:p w14:paraId="424E3916" w14:textId="4A8740B9" w:rsidR="00202AB4" w:rsidRPr="00EB7A6E" w:rsidRDefault="00202AB4" w:rsidP="004119AD">
            <w:pPr>
              <w:rPr>
                <w:rFonts w:ascii="Arial" w:hAnsi="Arial" w:cs="Arial"/>
                <w:b/>
              </w:rPr>
            </w:pPr>
            <w:r w:rsidRPr="00EB7A6E">
              <w:rPr>
                <w:rFonts w:ascii="Arial" w:hAnsi="Arial" w:cs="Arial"/>
                <w:b/>
              </w:rPr>
              <w:t>Membership Category</w:t>
            </w:r>
          </w:p>
        </w:tc>
        <w:tc>
          <w:tcPr>
            <w:tcW w:w="2977" w:type="dxa"/>
            <w:shd w:val="clear" w:color="auto" w:fill="F2F2F2" w:themeFill="background1" w:themeFillShade="F2"/>
          </w:tcPr>
          <w:p w14:paraId="72EAFC91" w14:textId="4FD1E515" w:rsidR="00202AB4" w:rsidRPr="00EB7A6E" w:rsidRDefault="00202AB4" w:rsidP="004119AD">
            <w:pPr>
              <w:rPr>
                <w:rFonts w:ascii="Arial" w:hAnsi="Arial" w:cs="Arial"/>
                <w:b/>
              </w:rPr>
            </w:pPr>
            <w:r w:rsidRPr="00EB7A6E">
              <w:rPr>
                <w:rFonts w:ascii="Arial" w:hAnsi="Arial" w:cs="Arial"/>
                <w:b/>
              </w:rPr>
              <w:t>Current Member</w:t>
            </w:r>
          </w:p>
        </w:tc>
        <w:tc>
          <w:tcPr>
            <w:tcW w:w="2126" w:type="dxa"/>
            <w:shd w:val="clear" w:color="auto" w:fill="F2F2F2" w:themeFill="background1" w:themeFillShade="F2"/>
          </w:tcPr>
          <w:p w14:paraId="3BE829E2" w14:textId="77777777" w:rsidR="00202AB4" w:rsidRPr="00EB7A6E" w:rsidRDefault="00202AB4" w:rsidP="004119AD">
            <w:pPr>
              <w:rPr>
                <w:rFonts w:ascii="Arial" w:hAnsi="Arial" w:cs="Arial"/>
                <w:b/>
              </w:rPr>
            </w:pPr>
            <w:r w:rsidRPr="00EB7A6E">
              <w:rPr>
                <w:rFonts w:ascii="Arial" w:hAnsi="Arial" w:cs="Arial"/>
                <w:b/>
              </w:rPr>
              <w:t>Term Expires</w:t>
            </w:r>
          </w:p>
        </w:tc>
      </w:tr>
      <w:tr w:rsidR="00202AB4" w:rsidRPr="00EB7A6E" w14:paraId="3BE89235" w14:textId="77777777" w:rsidTr="00202AB4">
        <w:tc>
          <w:tcPr>
            <w:tcW w:w="3681" w:type="dxa"/>
          </w:tcPr>
          <w:p w14:paraId="66D5B6FB" w14:textId="77777777" w:rsidR="00202AB4" w:rsidRPr="00EB7A6E" w:rsidRDefault="00202AB4" w:rsidP="00202AB4">
            <w:pPr>
              <w:rPr>
                <w:rFonts w:ascii="Arial" w:hAnsi="Arial" w:cs="Arial"/>
              </w:rPr>
            </w:pPr>
            <w:r w:rsidRPr="00EB7A6E">
              <w:rPr>
                <w:rFonts w:ascii="Arial" w:hAnsi="Arial" w:cs="Arial"/>
              </w:rPr>
              <w:t>Group Chair</w:t>
            </w:r>
          </w:p>
          <w:p w14:paraId="2A2AC485" w14:textId="77777777" w:rsidR="00202AB4" w:rsidRPr="00EB7A6E" w:rsidRDefault="00202AB4" w:rsidP="00202AB4">
            <w:pPr>
              <w:pStyle w:val="ListParagraph"/>
              <w:widowControl w:val="0"/>
              <w:numPr>
                <w:ilvl w:val="0"/>
                <w:numId w:val="0"/>
              </w:numPr>
              <w:autoSpaceDE w:val="0"/>
              <w:autoSpaceDN w:val="0"/>
              <w:ind w:left="313"/>
              <w:contextualSpacing w:val="0"/>
              <w:rPr>
                <w:rFonts w:ascii="Arial" w:hAnsi="Arial" w:cs="Arial"/>
              </w:rPr>
            </w:pPr>
          </w:p>
        </w:tc>
        <w:tc>
          <w:tcPr>
            <w:tcW w:w="2977" w:type="dxa"/>
          </w:tcPr>
          <w:p w14:paraId="5CF51FA9" w14:textId="4DF0CE65" w:rsidR="00202AB4" w:rsidRPr="00EB7A6E" w:rsidRDefault="00202AB4" w:rsidP="00EB7A6E">
            <w:pPr>
              <w:pStyle w:val="ListParagraph"/>
              <w:widowControl w:val="0"/>
              <w:numPr>
                <w:ilvl w:val="0"/>
                <w:numId w:val="9"/>
              </w:numPr>
              <w:autoSpaceDE w:val="0"/>
              <w:autoSpaceDN w:val="0"/>
              <w:ind w:left="313" w:hanging="313"/>
              <w:contextualSpacing w:val="0"/>
              <w:rPr>
                <w:rFonts w:ascii="Arial" w:hAnsi="Arial" w:cs="Arial"/>
              </w:rPr>
            </w:pPr>
            <w:r w:rsidRPr="00EB7A6E">
              <w:rPr>
                <w:rFonts w:ascii="Arial" w:hAnsi="Arial" w:cs="Arial"/>
              </w:rPr>
              <w:t>Una Fairbrother</w:t>
            </w:r>
          </w:p>
        </w:tc>
        <w:tc>
          <w:tcPr>
            <w:tcW w:w="2126" w:type="dxa"/>
          </w:tcPr>
          <w:p w14:paraId="42CC8A75" w14:textId="77777777" w:rsidR="00202AB4" w:rsidRPr="00EB7A6E" w:rsidRDefault="00202AB4" w:rsidP="004119AD">
            <w:pPr>
              <w:rPr>
                <w:rFonts w:ascii="Arial" w:hAnsi="Arial" w:cs="Arial"/>
              </w:rPr>
            </w:pPr>
            <w:r w:rsidRPr="00EB7A6E">
              <w:rPr>
                <w:rFonts w:ascii="Arial" w:hAnsi="Arial" w:cs="Arial"/>
              </w:rPr>
              <w:t>Ex-officio</w:t>
            </w:r>
          </w:p>
        </w:tc>
      </w:tr>
      <w:tr w:rsidR="00202AB4" w:rsidRPr="00EB7A6E" w14:paraId="57A365CE" w14:textId="77777777" w:rsidTr="00202AB4">
        <w:trPr>
          <w:trHeight w:val="562"/>
        </w:trPr>
        <w:tc>
          <w:tcPr>
            <w:tcW w:w="3681" w:type="dxa"/>
          </w:tcPr>
          <w:p w14:paraId="3CEAE81A" w14:textId="6BB2FF04" w:rsidR="00202AB4" w:rsidRPr="00EB7A6E" w:rsidRDefault="00202AB4" w:rsidP="00202AB4">
            <w:pPr>
              <w:pStyle w:val="ListParagraph"/>
              <w:widowControl w:val="0"/>
              <w:numPr>
                <w:ilvl w:val="0"/>
                <w:numId w:val="0"/>
              </w:numPr>
              <w:autoSpaceDE w:val="0"/>
              <w:autoSpaceDN w:val="0"/>
              <w:spacing w:after="240"/>
              <w:ind w:left="13"/>
              <w:contextualSpacing w:val="0"/>
              <w:rPr>
                <w:rFonts w:ascii="Arial" w:hAnsi="Arial" w:cs="Arial"/>
              </w:rPr>
            </w:pPr>
            <w:r w:rsidRPr="00EB7A6E">
              <w:rPr>
                <w:rFonts w:ascii="Arial" w:hAnsi="Arial" w:cs="Arial"/>
                <w:lang w:val="en-US"/>
              </w:rPr>
              <w:t>Research Ethics Review Panel (RERP) Chair</w:t>
            </w:r>
          </w:p>
        </w:tc>
        <w:tc>
          <w:tcPr>
            <w:tcW w:w="2977" w:type="dxa"/>
          </w:tcPr>
          <w:p w14:paraId="2FA3F3BE" w14:textId="45C1F543" w:rsidR="00202AB4" w:rsidRPr="00EB7A6E" w:rsidRDefault="00202AB4" w:rsidP="00202AB4">
            <w:pPr>
              <w:pStyle w:val="ListParagraph"/>
              <w:widowControl w:val="0"/>
              <w:numPr>
                <w:ilvl w:val="0"/>
                <w:numId w:val="9"/>
              </w:numPr>
              <w:autoSpaceDE w:val="0"/>
              <w:autoSpaceDN w:val="0"/>
              <w:spacing w:after="240"/>
              <w:ind w:left="313" w:hanging="313"/>
              <w:contextualSpacing w:val="0"/>
              <w:rPr>
                <w:rFonts w:ascii="Arial" w:hAnsi="Arial" w:cs="Arial"/>
              </w:rPr>
            </w:pPr>
            <w:r w:rsidRPr="00EB7A6E">
              <w:rPr>
                <w:rFonts w:ascii="Arial" w:hAnsi="Arial" w:cs="Arial"/>
              </w:rPr>
              <w:t xml:space="preserve">Luke </w:t>
            </w:r>
            <w:proofErr w:type="spellStart"/>
            <w:r w:rsidRPr="00EB7A6E">
              <w:rPr>
                <w:rFonts w:ascii="Arial" w:hAnsi="Arial" w:cs="Arial"/>
              </w:rPr>
              <w:t>Tredinnick</w:t>
            </w:r>
            <w:proofErr w:type="spellEnd"/>
            <w:r w:rsidRPr="00EB7A6E">
              <w:rPr>
                <w:rFonts w:ascii="Arial" w:hAnsi="Arial" w:cs="Arial"/>
              </w:rPr>
              <w:t xml:space="preserve"> (SCDM)</w:t>
            </w:r>
          </w:p>
        </w:tc>
        <w:tc>
          <w:tcPr>
            <w:tcW w:w="2126" w:type="dxa"/>
          </w:tcPr>
          <w:p w14:paraId="3FCA86D5" w14:textId="77777777" w:rsidR="00202AB4" w:rsidRPr="00EB7A6E" w:rsidRDefault="00202AB4" w:rsidP="004119AD">
            <w:pPr>
              <w:rPr>
                <w:rFonts w:ascii="Arial" w:hAnsi="Arial" w:cs="Arial"/>
              </w:rPr>
            </w:pPr>
            <w:r w:rsidRPr="00EB7A6E">
              <w:rPr>
                <w:rFonts w:ascii="Arial" w:hAnsi="Arial" w:cs="Arial"/>
              </w:rPr>
              <w:t>Ex-officio</w:t>
            </w:r>
          </w:p>
        </w:tc>
      </w:tr>
      <w:tr w:rsidR="00202AB4" w:rsidRPr="00EB7A6E" w14:paraId="70D9F798" w14:textId="77777777" w:rsidTr="00202AB4">
        <w:tc>
          <w:tcPr>
            <w:tcW w:w="3681" w:type="dxa"/>
          </w:tcPr>
          <w:p w14:paraId="458195BA" w14:textId="4CEE2DE5" w:rsidR="00202AB4" w:rsidRPr="00202AB4" w:rsidRDefault="00202AB4" w:rsidP="00202AB4">
            <w:pPr>
              <w:pStyle w:val="ListParagraph"/>
              <w:widowControl w:val="0"/>
              <w:numPr>
                <w:ilvl w:val="0"/>
                <w:numId w:val="0"/>
              </w:numPr>
              <w:autoSpaceDE w:val="0"/>
              <w:autoSpaceDN w:val="0"/>
              <w:ind w:left="13"/>
              <w:contextualSpacing w:val="0"/>
              <w:rPr>
                <w:rFonts w:ascii="Arial" w:hAnsi="Arial" w:cs="Arial"/>
              </w:rPr>
            </w:pPr>
            <w:r w:rsidRPr="00EB7A6E">
              <w:rPr>
                <w:rFonts w:ascii="Arial" w:hAnsi="Arial" w:cs="Arial"/>
                <w:lang w:val="en-US"/>
              </w:rPr>
              <w:t>Research Ethics Review Panel (RERP) Chair</w:t>
            </w:r>
          </w:p>
        </w:tc>
        <w:tc>
          <w:tcPr>
            <w:tcW w:w="2977" w:type="dxa"/>
          </w:tcPr>
          <w:p w14:paraId="4BE05B4C" w14:textId="1AD70257" w:rsidR="00202AB4" w:rsidRPr="00202AB4" w:rsidRDefault="00202AB4" w:rsidP="00EB7A6E">
            <w:pPr>
              <w:pStyle w:val="ListParagraph"/>
              <w:widowControl w:val="0"/>
              <w:numPr>
                <w:ilvl w:val="0"/>
                <w:numId w:val="9"/>
              </w:numPr>
              <w:autoSpaceDE w:val="0"/>
              <w:autoSpaceDN w:val="0"/>
              <w:ind w:left="313" w:hanging="313"/>
              <w:contextualSpacing w:val="0"/>
              <w:rPr>
                <w:rFonts w:ascii="Arial" w:hAnsi="Arial" w:cs="Arial"/>
              </w:rPr>
            </w:pPr>
            <w:r w:rsidRPr="00202AB4">
              <w:rPr>
                <w:rFonts w:ascii="Arial" w:hAnsi="Arial" w:cs="Arial"/>
              </w:rPr>
              <w:t>Sunny Singh</w:t>
            </w:r>
          </w:p>
          <w:p w14:paraId="072E2767" w14:textId="791B464D" w:rsidR="00202AB4" w:rsidRPr="00202AB4" w:rsidRDefault="00202AB4" w:rsidP="00202AB4">
            <w:pPr>
              <w:pStyle w:val="ListParagraph"/>
              <w:widowControl w:val="0"/>
              <w:numPr>
                <w:ilvl w:val="0"/>
                <w:numId w:val="0"/>
              </w:numPr>
              <w:autoSpaceDE w:val="0"/>
              <w:autoSpaceDN w:val="0"/>
              <w:spacing w:after="240"/>
              <w:ind w:left="313"/>
              <w:contextualSpacing w:val="0"/>
              <w:rPr>
                <w:rFonts w:ascii="Arial" w:hAnsi="Arial" w:cs="Arial"/>
              </w:rPr>
            </w:pPr>
            <w:r w:rsidRPr="00202AB4">
              <w:rPr>
                <w:rFonts w:ascii="Arial" w:hAnsi="Arial" w:cs="Arial"/>
              </w:rPr>
              <w:t>(AAD)</w:t>
            </w:r>
          </w:p>
        </w:tc>
        <w:tc>
          <w:tcPr>
            <w:tcW w:w="2126" w:type="dxa"/>
          </w:tcPr>
          <w:p w14:paraId="10AA505F" w14:textId="77777777" w:rsidR="00202AB4" w:rsidRPr="00202AB4" w:rsidRDefault="00202AB4" w:rsidP="004119AD">
            <w:pPr>
              <w:rPr>
                <w:rFonts w:ascii="Arial" w:hAnsi="Arial" w:cs="Arial"/>
              </w:rPr>
            </w:pPr>
            <w:r w:rsidRPr="00202AB4">
              <w:rPr>
                <w:rFonts w:ascii="Arial" w:hAnsi="Arial" w:cs="Arial"/>
              </w:rPr>
              <w:t>Ex-officio</w:t>
            </w:r>
          </w:p>
        </w:tc>
      </w:tr>
      <w:tr w:rsidR="00202AB4" w:rsidRPr="00EB7A6E" w14:paraId="72438300" w14:textId="77777777" w:rsidTr="00202AB4">
        <w:tc>
          <w:tcPr>
            <w:tcW w:w="3681" w:type="dxa"/>
          </w:tcPr>
          <w:p w14:paraId="6D8FBAA4" w14:textId="68638454" w:rsidR="00202AB4" w:rsidRPr="00202AB4" w:rsidRDefault="00202AB4" w:rsidP="00202AB4">
            <w:pPr>
              <w:pStyle w:val="ListParagraph"/>
              <w:widowControl w:val="0"/>
              <w:numPr>
                <w:ilvl w:val="0"/>
                <w:numId w:val="0"/>
              </w:numPr>
              <w:autoSpaceDE w:val="0"/>
              <w:autoSpaceDN w:val="0"/>
              <w:spacing w:after="240"/>
              <w:ind w:left="13"/>
              <w:contextualSpacing w:val="0"/>
              <w:rPr>
                <w:rFonts w:ascii="Arial" w:hAnsi="Arial" w:cs="Arial"/>
              </w:rPr>
            </w:pPr>
            <w:r w:rsidRPr="00EB7A6E">
              <w:rPr>
                <w:rFonts w:ascii="Arial" w:hAnsi="Arial" w:cs="Arial"/>
                <w:lang w:val="en-US"/>
              </w:rPr>
              <w:t>Research Ethics Review Panel (RERP) Chair</w:t>
            </w:r>
          </w:p>
        </w:tc>
        <w:tc>
          <w:tcPr>
            <w:tcW w:w="2977" w:type="dxa"/>
          </w:tcPr>
          <w:p w14:paraId="42968CA6" w14:textId="1759DD69" w:rsidR="00202AB4" w:rsidRPr="00202AB4" w:rsidRDefault="00202AB4" w:rsidP="00202AB4">
            <w:pPr>
              <w:pStyle w:val="ListParagraph"/>
              <w:widowControl w:val="0"/>
              <w:numPr>
                <w:ilvl w:val="0"/>
                <w:numId w:val="9"/>
              </w:numPr>
              <w:autoSpaceDE w:val="0"/>
              <w:autoSpaceDN w:val="0"/>
              <w:spacing w:after="240"/>
              <w:ind w:left="313" w:hanging="313"/>
              <w:contextualSpacing w:val="0"/>
              <w:rPr>
                <w:rFonts w:ascii="Arial" w:hAnsi="Arial" w:cs="Arial"/>
              </w:rPr>
            </w:pPr>
            <w:r w:rsidRPr="00202AB4">
              <w:rPr>
                <w:rFonts w:ascii="Arial" w:hAnsi="Arial" w:cs="Arial"/>
              </w:rPr>
              <w:t>Mark Wheeler (Research)</w:t>
            </w:r>
          </w:p>
        </w:tc>
        <w:tc>
          <w:tcPr>
            <w:tcW w:w="2126" w:type="dxa"/>
          </w:tcPr>
          <w:p w14:paraId="249E9193" w14:textId="77777777" w:rsidR="00202AB4" w:rsidRPr="00202AB4" w:rsidRDefault="00202AB4" w:rsidP="004119AD">
            <w:pPr>
              <w:rPr>
                <w:rFonts w:ascii="Arial" w:hAnsi="Arial" w:cs="Arial"/>
              </w:rPr>
            </w:pPr>
            <w:r w:rsidRPr="00202AB4">
              <w:rPr>
                <w:rFonts w:ascii="Arial" w:hAnsi="Arial" w:cs="Arial"/>
              </w:rPr>
              <w:t>Ex-officio</w:t>
            </w:r>
          </w:p>
        </w:tc>
      </w:tr>
      <w:tr w:rsidR="00202AB4" w:rsidRPr="00EB7A6E" w14:paraId="4294F870" w14:textId="77777777" w:rsidTr="00202AB4">
        <w:tc>
          <w:tcPr>
            <w:tcW w:w="3681" w:type="dxa"/>
          </w:tcPr>
          <w:p w14:paraId="72080FD5" w14:textId="4CD8780F" w:rsidR="00202AB4" w:rsidRPr="00202AB4" w:rsidRDefault="00202AB4" w:rsidP="00202AB4">
            <w:pPr>
              <w:pStyle w:val="ListParagraph"/>
              <w:widowControl w:val="0"/>
              <w:numPr>
                <w:ilvl w:val="0"/>
                <w:numId w:val="0"/>
              </w:numPr>
              <w:autoSpaceDE w:val="0"/>
              <w:autoSpaceDN w:val="0"/>
              <w:ind w:left="13"/>
              <w:contextualSpacing w:val="0"/>
              <w:rPr>
                <w:rFonts w:ascii="Arial" w:hAnsi="Arial" w:cs="Arial"/>
              </w:rPr>
            </w:pPr>
            <w:r w:rsidRPr="00EB7A6E">
              <w:rPr>
                <w:rFonts w:ascii="Arial" w:hAnsi="Arial" w:cs="Arial"/>
                <w:lang w:val="en-US"/>
              </w:rPr>
              <w:t>Research Ethics Review Panel (RERP) Chair</w:t>
            </w:r>
          </w:p>
        </w:tc>
        <w:tc>
          <w:tcPr>
            <w:tcW w:w="2977" w:type="dxa"/>
          </w:tcPr>
          <w:p w14:paraId="4A60645C" w14:textId="3DF819F1" w:rsidR="00202AB4" w:rsidRDefault="00202AB4" w:rsidP="00EB7A6E">
            <w:pPr>
              <w:pStyle w:val="ListParagraph"/>
              <w:widowControl w:val="0"/>
              <w:numPr>
                <w:ilvl w:val="0"/>
                <w:numId w:val="9"/>
              </w:numPr>
              <w:autoSpaceDE w:val="0"/>
              <w:autoSpaceDN w:val="0"/>
              <w:ind w:left="313" w:hanging="313"/>
              <w:contextualSpacing w:val="0"/>
              <w:rPr>
                <w:rFonts w:ascii="Arial" w:hAnsi="Arial" w:cs="Arial"/>
                <w:lang w:val="it-IT"/>
              </w:rPr>
            </w:pPr>
            <w:r w:rsidRPr="00202AB4">
              <w:rPr>
                <w:rFonts w:ascii="Arial" w:hAnsi="Arial" w:cs="Arial"/>
                <w:lang w:val="it-IT"/>
              </w:rPr>
              <w:t xml:space="preserve">Louise Ryan </w:t>
            </w:r>
          </w:p>
          <w:p w14:paraId="25E2F5F5" w14:textId="13449DA4" w:rsidR="00202AB4" w:rsidRPr="00202AB4" w:rsidRDefault="00202AB4" w:rsidP="00202AB4">
            <w:pPr>
              <w:pStyle w:val="ListParagraph"/>
              <w:widowControl w:val="0"/>
              <w:numPr>
                <w:ilvl w:val="0"/>
                <w:numId w:val="0"/>
              </w:numPr>
              <w:autoSpaceDE w:val="0"/>
              <w:autoSpaceDN w:val="0"/>
              <w:spacing w:after="240"/>
              <w:ind w:left="313"/>
              <w:contextualSpacing w:val="0"/>
              <w:rPr>
                <w:rFonts w:ascii="Arial" w:hAnsi="Arial" w:cs="Arial"/>
                <w:lang w:val="it-IT"/>
              </w:rPr>
            </w:pPr>
            <w:r w:rsidRPr="00202AB4">
              <w:rPr>
                <w:rFonts w:ascii="Arial" w:hAnsi="Arial" w:cs="Arial"/>
                <w:lang w:val="it-IT"/>
              </w:rPr>
              <w:t>(SSSP)</w:t>
            </w:r>
          </w:p>
        </w:tc>
        <w:tc>
          <w:tcPr>
            <w:tcW w:w="2126" w:type="dxa"/>
          </w:tcPr>
          <w:p w14:paraId="0F027466" w14:textId="77777777" w:rsidR="00202AB4" w:rsidRPr="00202AB4" w:rsidRDefault="00202AB4" w:rsidP="004119AD">
            <w:pPr>
              <w:rPr>
                <w:rFonts w:ascii="Arial" w:hAnsi="Arial" w:cs="Arial"/>
              </w:rPr>
            </w:pPr>
            <w:r w:rsidRPr="00202AB4">
              <w:rPr>
                <w:rFonts w:ascii="Arial" w:hAnsi="Arial" w:cs="Arial"/>
              </w:rPr>
              <w:t>Ex-officio</w:t>
            </w:r>
          </w:p>
          <w:p w14:paraId="6C382FF7" w14:textId="77777777" w:rsidR="00202AB4" w:rsidRPr="00202AB4" w:rsidRDefault="00202AB4" w:rsidP="004119AD">
            <w:pPr>
              <w:rPr>
                <w:rFonts w:ascii="Arial" w:hAnsi="Arial" w:cs="Arial"/>
              </w:rPr>
            </w:pPr>
          </w:p>
        </w:tc>
      </w:tr>
      <w:tr w:rsidR="00202AB4" w:rsidRPr="00EB7A6E" w14:paraId="34C5066B" w14:textId="77777777" w:rsidTr="00202AB4">
        <w:tc>
          <w:tcPr>
            <w:tcW w:w="3681" w:type="dxa"/>
          </w:tcPr>
          <w:p w14:paraId="528F225C" w14:textId="2782C6B8" w:rsidR="00202AB4" w:rsidRPr="00202AB4" w:rsidRDefault="00202AB4" w:rsidP="00202AB4">
            <w:pPr>
              <w:pStyle w:val="ListParagraph"/>
              <w:widowControl w:val="0"/>
              <w:numPr>
                <w:ilvl w:val="0"/>
                <w:numId w:val="0"/>
              </w:numPr>
              <w:autoSpaceDE w:val="0"/>
              <w:autoSpaceDN w:val="0"/>
              <w:ind w:left="13"/>
              <w:contextualSpacing w:val="0"/>
              <w:rPr>
                <w:rFonts w:asciiTheme="minorBidi" w:hAnsiTheme="minorBidi" w:cstheme="minorBidi"/>
              </w:rPr>
            </w:pPr>
            <w:r w:rsidRPr="00EB7A6E">
              <w:rPr>
                <w:rFonts w:ascii="Arial" w:hAnsi="Arial" w:cs="Arial"/>
                <w:lang w:val="en-US"/>
              </w:rPr>
              <w:t>Research Ethics Review Panel (RERP) Chair</w:t>
            </w:r>
          </w:p>
        </w:tc>
        <w:tc>
          <w:tcPr>
            <w:tcW w:w="2977" w:type="dxa"/>
          </w:tcPr>
          <w:p w14:paraId="059411FD" w14:textId="3A54640D" w:rsidR="00202AB4" w:rsidRPr="00202AB4" w:rsidRDefault="00202AB4" w:rsidP="00202AB4">
            <w:pPr>
              <w:pStyle w:val="ListParagraph"/>
              <w:widowControl w:val="0"/>
              <w:numPr>
                <w:ilvl w:val="0"/>
                <w:numId w:val="9"/>
              </w:numPr>
              <w:autoSpaceDE w:val="0"/>
              <w:autoSpaceDN w:val="0"/>
              <w:ind w:left="311"/>
              <w:contextualSpacing w:val="0"/>
              <w:rPr>
                <w:rFonts w:asciiTheme="minorBidi" w:eastAsiaTheme="minorEastAsia" w:hAnsiTheme="minorBidi" w:cstheme="minorBidi"/>
              </w:rPr>
            </w:pPr>
            <w:r w:rsidRPr="00202AB4">
              <w:rPr>
                <w:rFonts w:asciiTheme="minorBidi" w:hAnsiTheme="minorBidi" w:cstheme="minorBidi"/>
              </w:rPr>
              <w:t xml:space="preserve">Angela </w:t>
            </w:r>
            <w:proofErr w:type="spellStart"/>
            <w:r w:rsidRPr="00202AB4">
              <w:rPr>
                <w:rFonts w:asciiTheme="minorBidi" w:hAnsiTheme="minorBidi" w:cstheme="minorBidi"/>
              </w:rPr>
              <w:t>Loulopoulou</w:t>
            </w:r>
            <w:proofErr w:type="spellEnd"/>
          </w:p>
          <w:p w14:paraId="57B6A223" w14:textId="7941219F" w:rsidR="00202AB4" w:rsidRPr="00202AB4" w:rsidRDefault="00202AB4" w:rsidP="00202AB4">
            <w:pPr>
              <w:pStyle w:val="ListParagraph"/>
              <w:widowControl w:val="0"/>
              <w:numPr>
                <w:ilvl w:val="0"/>
                <w:numId w:val="0"/>
              </w:numPr>
              <w:autoSpaceDE w:val="0"/>
              <w:autoSpaceDN w:val="0"/>
              <w:spacing w:after="240"/>
              <w:ind w:left="313"/>
              <w:contextualSpacing w:val="0"/>
              <w:rPr>
                <w:rFonts w:ascii="Arial" w:hAnsi="Arial" w:cs="Arial"/>
                <w:lang w:val="it-IT"/>
              </w:rPr>
            </w:pPr>
            <w:r w:rsidRPr="00202AB4">
              <w:rPr>
                <w:rFonts w:asciiTheme="minorBidi" w:hAnsiTheme="minorBidi" w:cstheme="minorBidi"/>
              </w:rPr>
              <w:t>(Psychology)</w:t>
            </w:r>
          </w:p>
        </w:tc>
        <w:tc>
          <w:tcPr>
            <w:tcW w:w="2126" w:type="dxa"/>
          </w:tcPr>
          <w:p w14:paraId="1DF320F8" w14:textId="77777777" w:rsidR="00202AB4" w:rsidRPr="00202AB4" w:rsidRDefault="00202AB4" w:rsidP="00202AB4">
            <w:pPr>
              <w:rPr>
                <w:rFonts w:ascii="Arial" w:hAnsi="Arial" w:cs="Arial"/>
              </w:rPr>
            </w:pPr>
            <w:r w:rsidRPr="00202AB4">
              <w:rPr>
                <w:rFonts w:ascii="Arial" w:hAnsi="Arial" w:cs="Arial"/>
              </w:rPr>
              <w:t>Ex-officio</w:t>
            </w:r>
          </w:p>
          <w:p w14:paraId="14770344" w14:textId="77777777" w:rsidR="00202AB4" w:rsidRPr="00202AB4" w:rsidRDefault="00202AB4" w:rsidP="004119AD">
            <w:pPr>
              <w:rPr>
                <w:rFonts w:ascii="Arial" w:hAnsi="Arial" w:cs="Arial"/>
              </w:rPr>
            </w:pPr>
          </w:p>
        </w:tc>
      </w:tr>
      <w:tr w:rsidR="00202AB4" w:rsidRPr="00EB7A6E" w14:paraId="29175559" w14:textId="77777777" w:rsidTr="00202AB4">
        <w:tc>
          <w:tcPr>
            <w:tcW w:w="3681" w:type="dxa"/>
          </w:tcPr>
          <w:p w14:paraId="45495B50" w14:textId="5F0E5091" w:rsidR="00202AB4" w:rsidRPr="00202AB4" w:rsidRDefault="00202AB4" w:rsidP="00202AB4">
            <w:pPr>
              <w:pStyle w:val="ListParagraph"/>
              <w:widowControl w:val="0"/>
              <w:numPr>
                <w:ilvl w:val="0"/>
                <w:numId w:val="0"/>
              </w:numPr>
              <w:autoSpaceDE w:val="0"/>
              <w:autoSpaceDN w:val="0"/>
              <w:ind w:left="13"/>
              <w:contextualSpacing w:val="0"/>
              <w:rPr>
                <w:rFonts w:ascii="Arial" w:hAnsi="Arial" w:cs="Arial"/>
              </w:rPr>
            </w:pPr>
            <w:r w:rsidRPr="00EB7A6E">
              <w:rPr>
                <w:rFonts w:ascii="Arial" w:hAnsi="Arial" w:cs="Arial"/>
                <w:lang w:val="en-US"/>
              </w:rPr>
              <w:t>Research Ethics Review Panel (RERP) Chair</w:t>
            </w:r>
          </w:p>
        </w:tc>
        <w:tc>
          <w:tcPr>
            <w:tcW w:w="2977" w:type="dxa"/>
          </w:tcPr>
          <w:p w14:paraId="23AC8E46" w14:textId="582602E1" w:rsidR="00202AB4" w:rsidRPr="00202AB4" w:rsidRDefault="00202AB4" w:rsidP="00EB7A6E">
            <w:pPr>
              <w:pStyle w:val="ListParagraph"/>
              <w:widowControl w:val="0"/>
              <w:numPr>
                <w:ilvl w:val="0"/>
                <w:numId w:val="9"/>
              </w:numPr>
              <w:autoSpaceDE w:val="0"/>
              <w:autoSpaceDN w:val="0"/>
              <w:ind w:left="313" w:hanging="313"/>
              <w:contextualSpacing w:val="0"/>
              <w:rPr>
                <w:rFonts w:ascii="Arial" w:hAnsi="Arial" w:cs="Arial"/>
              </w:rPr>
            </w:pPr>
            <w:r w:rsidRPr="00202AB4">
              <w:rPr>
                <w:rFonts w:ascii="Arial" w:hAnsi="Arial" w:cs="Arial"/>
              </w:rPr>
              <w:t xml:space="preserve">Dee Bhakta </w:t>
            </w:r>
          </w:p>
          <w:p w14:paraId="79AAE3BD" w14:textId="3BED8FA5" w:rsidR="00202AB4" w:rsidRPr="00202AB4" w:rsidRDefault="00202AB4" w:rsidP="00202AB4">
            <w:pPr>
              <w:pStyle w:val="ListParagraph"/>
              <w:widowControl w:val="0"/>
              <w:numPr>
                <w:ilvl w:val="0"/>
                <w:numId w:val="0"/>
              </w:numPr>
              <w:autoSpaceDE w:val="0"/>
              <w:autoSpaceDN w:val="0"/>
              <w:spacing w:after="240"/>
              <w:ind w:left="313"/>
              <w:contextualSpacing w:val="0"/>
              <w:rPr>
                <w:rFonts w:ascii="Arial" w:hAnsi="Arial" w:cs="Arial"/>
              </w:rPr>
            </w:pPr>
            <w:r w:rsidRPr="00202AB4">
              <w:rPr>
                <w:rFonts w:ascii="Arial" w:hAnsi="Arial" w:cs="Arial"/>
              </w:rPr>
              <w:t>(SHS)</w:t>
            </w:r>
          </w:p>
        </w:tc>
        <w:tc>
          <w:tcPr>
            <w:tcW w:w="2126" w:type="dxa"/>
          </w:tcPr>
          <w:p w14:paraId="2BEFC9A4" w14:textId="77777777" w:rsidR="00202AB4" w:rsidRPr="00202AB4" w:rsidRDefault="00202AB4" w:rsidP="004119AD">
            <w:pPr>
              <w:rPr>
                <w:rFonts w:ascii="Arial" w:hAnsi="Arial" w:cs="Arial"/>
              </w:rPr>
            </w:pPr>
            <w:r w:rsidRPr="00202AB4">
              <w:rPr>
                <w:rFonts w:ascii="Arial" w:hAnsi="Arial" w:cs="Arial"/>
              </w:rPr>
              <w:t>Ex-officio</w:t>
            </w:r>
          </w:p>
        </w:tc>
      </w:tr>
      <w:tr w:rsidR="00202AB4" w:rsidRPr="00EB7A6E" w14:paraId="431A7841" w14:textId="77777777" w:rsidTr="00202AB4">
        <w:tc>
          <w:tcPr>
            <w:tcW w:w="3681" w:type="dxa"/>
          </w:tcPr>
          <w:p w14:paraId="165C051E" w14:textId="4335AEB5" w:rsidR="00202AB4" w:rsidRPr="00202AB4" w:rsidRDefault="00202AB4" w:rsidP="00202AB4">
            <w:pPr>
              <w:pStyle w:val="ListParagraph"/>
              <w:widowControl w:val="0"/>
              <w:numPr>
                <w:ilvl w:val="0"/>
                <w:numId w:val="0"/>
              </w:numPr>
              <w:autoSpaceDE w:val="0"/>
              <w:autoSpaceDN w:val="0"/>
              <w:spacing w:after="240"/>
              <w:ind w:left="13"/>
              <w:contextualSpacing w:val="0"/>
              <w:rPr>
                <w:rStyle w:val="Strong"/>
                <w:rFonts w:ascii="Arial" w:hAnsi="Arial" w:cs="Arial"/>
                <w:b w:val="0"/>
                <w:bCs w:val="0"/>
                <w:shd w:val="clear" w:color="auto" w:fill="FFFFFF"/>
              </w:rPr>
            </w:pPr>
            <w:r w:rsidRPr="00EB7A6E">
              <w:rPr>
                <w:rFonts w:ascii="Arial" w:hAnsi="Arial" w:cs="Arial"/>
                <w:lang w:val="en-US"/>
              </w:rPr>
              <w:t>Research Ethics Review Panel (RERP) Chair</w:t>
            </w:r>
          </w:p>
        </w:tc>
        <w:tc>
          <w:tcPr>
            <w:tcW w:w="2977" w:type="dxa"/>
          </w:tcPr>
          <w:p w14:paraId="3AD2E44F" w14:textId="2A40E348" w:rsidR="00202AB4" w:rsidRPr="00202AB4" w:rsidRDefault="00202AB4" w:rsidP="00202AB4">
            <w:pPr>
              <w:pStyle w:val="ListParagraph"/>
              <w:widowControl w:val="0"/>
              <w:numPr>
                <w:ilvl w:val="0"/>
                <w:numId w:val="9"/>
              </w:numPr>
              <w:autoSpaceDE w:val="0"/>
              <w:autoSpaceDN w:val="0"/>
              <w:spacing w:after="240"/>
              <w:ind w:left="313" w:hanging="283"/>
              <w:contextualSpacing w:val="0"/>
              <w:rPr>
                <w:rFonts w:ascii="Arial" w:hAnsi="Arial" w:cs="Arial"/>
              </w:rPr>
            </w:pPr>
            <w:proofErr w:type="spellStart"/>
            <w:r w:rsidRPr="00202AB4">
              <w:rPr>
                <w:rStyle w:val="Strong"/>
                <w:rFonts w:ascii="Arial" w:hAnsi="Arial" w:cs="Arial"/>
                <w:b w:val="0"/>
                <w:bCs w:val="0"/>
                <w:shd w:val="clear" w:color="auto" w:fill="FFFFFF"/>
              </w:rPr>
              <w:t>Mesfin</w:t>
            </w:r>
            <w:proofErr w:type="spellEnd"/>
            <w:r w:rsidRPr="00202AB4">
              <w:rPr>
                <w:rStyle w:val="Strong"/>
                <w:rFonts w:ascii="Arial" w:hAnsi="Arial" w:cs="Arial"/>
                <w:b w:val="0"/>
                <w:bCs w:val="0"/>
                <w:shd w:val="clear" w:color="auto" w:fill="FFFFFF"/>
              </w:rPr>
              <w:t xml:space="preserve"> </w:t>
            </w:r>
            <w:proofErr w:type="spellStart"/>
            <w:r w:rsidRPr="00202AB4">
              <w:rPr>
                <w:rFonts w:ascii="Arial" w:hAnsi="Arial" w:cs="Arial"/>
                <w:color w:val="222222"/>
                <w:shd w:val="clear" w:color="auto" w:fill="FFFFFF"/>
              </w:rPr>
              <w:t>Habtom</w:t>
            </w:r>
            <w:proofErr w:type="spellEnd"/>
            <w:r w:rsidRPr="00202AB4">
              <w:rPr>
                <w:rStyle w:val="Strong"/>
                <w:rFonts w:ascii="Arial" w:hAnsi="Arial" w:cs="Arial"/>
                <w:b w:val="0"/>
                <w:bCs w:val="0"/>
                <w:shd w:val="clear" w:color="auto" w:fill="FFFFFF"/>
              </w:rPr>
              <w:t xml:space="preserve"> (GSBL)</w:t>
            </w:r>
          </w:p>
        </w:tc>
        <w:tc>
          <w:tcPr>
            <w:tcW w:w="2126" w:type="dxa"/>
          </w:tcPr>
          <w:p w14:paraId="478D8117" w14:textId="77777777" w:rsidR="00202AB4" w:rsidRPr="00202AB4" w:rsidRDefault="00202AB4" w:rsidP="004119AD">
            <w:pPr>
              <w:rPr>
                <w:rFonts w:ascii="Arial" w:hAnsi="Arial" w:cs="Arial"/>
              </w:rPr>
            </w:pPr>
            <w:r w:rsidRPr="00202AB4">
              <w:rPr>
                <w:rFonts w:ascii="Arial" w:hAnsi="Arial" w:cs="Arial"/>
              </w:rPr>
              <w:t>Ex-officio</w:t>
            </w:r>
          </w:p>
          <w:p w14:paraId="1A9E39C2" w14:textId="77777777" w:rsidR="00202AB4" w:rsidRPr="00202AB4" w:rsidRDefault="00202AB4" w:rsidP="004119AD">
            <w:pPr>
              <w:rPr>
                <w:rFonts w:ascii="Arial" w:hAnsi="Arial" w:cs="Arial"/>
              </w:rPr>
            </w:pPr>
          </w:p>
        </w:tc>
      </w:tr>
      <w:tr w:rsidR="00202AB4" w:rsidRPr="00EB7A6E" w14:paraId="46A19043" w14:textId="77777777" w:rsidTr="00202AB4">
        <w:tc>
          <w:tcPr>
            <w:tcW w:w="3681" w:type="dxa"/>
          </w:tcPr>
          <w:p w14:paraId="18172DD5" w14:textId="77777777" w:rsidR="00202AB4" w:rsidRPr="00202AB4" w:rsidRDefault="00202AB4" w:rsidP="00202AB4">
            <w:pPr>
              <w:rPr>
                <w:rFonts w:ascii="Arial" w:hAnsi="Arial" w:cs="Arial"/>
              </w:rPr>
            </w:pPr>
            <w:r w:rsidRPr="00202AB4">
              <w:rPr>
                <w:rFonts w:ascii="Arial" w:hAnsi="Arial" w:cs="Arial"/>
              </w:rPr>
              <w:t>External Member</w:t>
            </w:r>
          </w:p>
          <w:p w14:paraId="3B043A04" w14:textId="77777777" w:rsidR="00202AB4" w:rsidRPr="00202AB4" w:rsidRDefault="00202AB4" w:rsidP="00202AB4">
            <w:pPr>
              <w:pStyle w:val="ListParagraph"/>
              <w:widowControl w:val="0"/>
              <w:numPr>
                <w:ilvl w:val="0"/>
                <w:numId w:val="0"/>
              </w:numPr>
              <w:autoSpaceDE w:val="0"/>
              <w:autoSpaceDN w:val="0"/>
              <w:ind w:left="313"/>
              <w:contextualSpacing w:val="0"/>
              <w:rPr>
                <w:rStyle w:val="Strong"/>
                <w:rFonts w:ascii="Arial" w:hAnsi="Arial" w:cs="Arial"/>
                <w:b w:val="0"/>
                <w:bCs w:val="0"/>
                <w:shd w:val="clear" w:color="auto" w:fill="FFFFFF"/>
              </w:rPr>
            </w:pPr>
          </w:p>
        </w:tc>
        <w:tc>
          <w:tcPr>
            <w:tcW w:w="2977" w:type="dxa"/>
          </w:tcPr>
          <w:p w14:paraId="2620FB11" w14:textId="633D2012" w:rsidR="00202AB4" w:rsidRPr="00202AB4" w:rsidRDefault="00202AB4" w:rsidP="00EB7A6E">
            <w:pPr>
              <w:pStyle w:val="ListParagraph"/>
              <w:widowControl w:val="0"/>
              <w:numPr>
                <w:ilvl w:val="0"/>
                <w:numId w:val="9"/>
              </w:numPr>
              <w:autoSpaceDE w:val="0"/>
              <w:autoSpaceDN w:val="0"/>
              <w:ind w:left="313" w:hanging="283"/>
              <w:contextualSpacing w:val="0"/>
              <w:rPr>
                <w:rStyle w:val="Strong"/>
                <w:rFonts w:ascii="Arial" w:hAnsi="Arial" w:cs="Arial"/>
                <w:b w:val="0"/>
                <w:bCs w:val="0"/>
                <w:shd w:val="clear" w:color="auto" w:fill="FFFFFF"/>
              </w:rPr>
            </w:pPr>
            <w:r w:rsidRPr="00202AB4">
              <w:rPr>
                <w:rStyle w:val="Strong"/>
                <w:rFonts w:ascii="Arial" w:hAnsi="Arial" w:cs="Arial"/>
                <w:b w:val="0"/>
                <w:bCs w:val="0"/>
                <w:shd w:val="clear" w:color="auto" w:fill="FFFFFF"/>
              </w:rPr>
              <w:t xml:space="preserve">Grace </w:t>
            </w:r>
            <w:proofErr w:type="spellStart"/>
            <w:r w:rsidRPr="00202AB4">
              <w:rPr>
                <w:rStyle w:val="Strong"/>
                <w:rFonts w:ascii="Arial" w:hAnsi="Arial" w:cs="Arial"/>
                <w:b w:val="0"/>
                <w:bCs w:val="0"/>
                <w:shd w:val="clear" w:color="auto" w:fill="FFFFFF"/>
              </w:rPr>
              <w:t>Grima</w:t>
            </w:r>
            <w:proofErr w:type="spellEnd"/>
          </w:p>
        </w:tc>
        <w:tc>
          <w:tcPr>
            <w:tcW w:w="2126" w:type="dxa"/>
          </w:tcPr>
          <w:p w14:paraId="5A4C929E" w14:textId="77777777" w:rsidR="00202AB4" w:rsidRPr="00202AB4" w:rsidRDefault="00202AB4" w:rsidP="004119AD">
            <w:pPr>
              <w:rPr>
                <w:rFonts w:ascii="Arial" w:hAnsi="Arial" w:cs="Arial"/>
              </w:rPr>
            </w:pPr>
            <w:r w:rsidRPr="00202AB4">
              <w:rPr>
                <w:rFonts w:ascii="Arial" w:hAnsi="Arial" w:cs="Arial"/>
              </w:rPr>
              <w:t>Ex-officio</w:t>
            </w:r>
          </w:p>
        </w:tc>
      </w:tr>
    </w:tbl>
    <w:p w14:paraId="3F284483" w14:textId="77777777" w:rsidR="00EB7A6E" w:rsidRPr="00EB7A6E" w:rsidRDefault="00EB7A6E" w:rsidP="00EB7A6E">
      <w:pPr>
        <w:pStyle w:val="BodyText3"/>
        <w:rPr>
          <w:rFonts w:ascii="Arial" w:hAnsi="Arial" w:cs="Arial"/>
          <w:sz w:val="24"/>
          <w:szCs w:val="24"/>
          <w:lang w:val="en-US"/>
        </w:rPr>
      </w:pPr>
    </w:p>
    <w:p w14:paraId="084B6062" w14:textId="5771825D" w:rsidR="00C06C2B" w:rsidRPr="00EB7A6E" w:rsidRDefault="00EB7A6E" w:rsidP="00EB7A6E">
      <w:pPr>
        <w:pStyle w:val="BodyText3"/>
        <w:rPr>
          <w:rFonts w:ascii="Arial" w:eastAsia="Arial" w:hAnsi="Arial" w:cs="Arial"/>
          <w:sz w:val="24"/>
          <w:szCs w:val="24"/>
          <w:lang w:val="en-US"/>
        </w:rPr>
      </w:pPr>
      <w:r w:rsidRPr="00EB7A6E">
        <w:rPr>
          <w:rFonts w:ascii="Arial" w:hAnsi="Arial" w:cs="Arial"/>
          <w:sz w:val="24"/>
          <w:szCs w:val="24"/>
          <w:lang w:val="en-US"/>
        </w:rPr>
        <w:t xml:space="preserve">Secretary: </w:t>
      </w:r>
      <w:proofErr w:type="spellStart"/>
      <w:r w:rsidRPr="00EB7A6E">
        <w:rPr>
          <w:rFonts w:ascii="Arial" w:hAnsi="Arial" w:cs="Arial"/>
          <w:sz w:val="24"/>
          <w:szCs w:val="24"/>
          <w:lang w:val="en-US"/>
        </w:rPr>
        <w:t>Tamméé</w:t>
      </w:r>
      <w:proofErr w:type="spellEnd"/>
      <w:r w:rsidRPr="00EB7A6E">
        <w:rPr>
          <w:rFonts w:ascii="Arial" w:hAnsi="Arial" w:cs="Arial"/>
          <w:sz w:val="24"/>
          <w:szCs w:val="24"/>
          <w:lang w:val="en-US"/>
        </w:rPr>
        <w:t xml:space="preserve"> Greeves, Executive Assistant to the SLT</w:t>
      </w:r>
    </w:p>
    <w:sectPr w:rsidR="00C06C2B" w:rsidRPr="00EB7A6E">
      <w:footerReference w:type="default" r:id="rId9"/>
      <w:headerReference w:type="first" r:id="rId10"/>
      <w:footerReference w:type="first" r:id="rId11"/>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2EA2" w14:textId="77777777" w:rsidR="00614E8C" w:rsidRDefault="00614E8C">
      <w:r>
        <w:separator/>
      </w:r>
    </w:p>
  </w:endnote>
  <w:endnote w:type="continuationSeparator" w:id="0">
    <w:p w14:paraId="3C50E001" w14:textId="77777777" w:rsidR="00614E8C" w:rsidRDefault="0061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Plantin">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E5DD" w14:textId="77777777" w:rsidR="001F3FB4" w:rsidRDefault="00CB23AD">
    <w:pPr>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5A30" w14:textId="77777777" w:rsidR="001F3FB4" w:rsidRDefault="00CB23AD" w:rsidP="00256B8B">
    <w:pPr>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72AA" w14:textId="77777777" w:rsidR="00614E8C" w:rsidRDefault="00614E8C">
      <w:r>
        <w:separator/>
      </w:r>
    </w:p>
  </w:footnote>
  <w:footnote w:type="continuationSeparator" w:id="0">
    <w:p w14:paraId="6F556B3E" w14:textId="77777777" w:rsidR="00614E8C" w:rsidRDefault="00614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A04D" w14:textId="77777777" w:rsidR="001F3FB4" w:rsidRDefault="00CB23AD">
    <w:pPr>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0DD5E88A" wp14:editId="6246B6DE">
          <wp:simplePos x="0" y="0"/>
          <wp:positionH relativeFrom="column">
            <wp:posOffset>-283210</wp:posOffset>
          </wp:positionH>
          <wp:positionV relativeFrom="paragraph">
            <wp:posOffset>-669925</wp:posOffset>
          </wp:positionV>
          <wp:extent cx="2160905" cy="554355"/>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42A78"/>
    <w:multiLevelType w:val="hybridMultilevel"/>
    <w:tmpl w:val="813404D8"/>
    <w:lvl w:ilvl="0" w:tplc="B3A8DC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928D2"/>
    <w:multiLevelType w:val="hybridMultilevel"/>
    <w:tmpl w:val="D0284BE6"/>
    <w:lvl w:ilvl="0" w:tplc="0809001B">
      <w:start w:val="1"/>
      <w:numFmt w:val="lowerRoman"/>
      <w:lvlText w:val="%1."/>
      <w:lvlJc w:val="right"/>
      <w:pPr>
        <w:ind w:left="468" w:hanging="356"/>
      </w:pPr>
      <w:rPr>
        <w:rFonts w:hint="default"/>
        <w:spacing w:val="-1"/>
        <w:w w:val="100"/>
        <w:sz w:val="22"/>
        <w:szCs w:val="22"/>
      </w:rPr>
    </w:lvl>
    <w:lvl w:ilvl="1" w:tplc="1A9648B8">
      <w:numFmt w:val="bullet"/>
      <w:lvlText w:val="•"/>
      <w:lvlJc w:val="left"/>
      <w:pPr>
        <w:ind w:left="1684" w:hanging="363"/>
      </w:pPr>
      <w:rPr>
        <w:rFonts w:ascii="Arial" w:eastAsia="Arial" w:hAnsi="Arial" w:cs="Arial" w:hint="default"/>
        <w:w w:val="129"/>
        <w:sz w:val="22"/>
        <w:szCs w:val="22"/>
      </w:rPr>
    </w:lvl>
    <w:lvl w:ilvl="2" w:tplc="3524138A">
      <w:numFmt w:val="bullet"/>
      <w:lvlText w:val="•"/>
      <w:lvlJc w:val="left"/>
      <w:pPr>
        <w:ind w:left="2545" w:hanging="363"/>
      </w:pPr>
      <w:rPr>
        <w:rFonts w:hint="default"/>
      </w:rPr>
    </w:lvl>
    <w:lvl w:ilvl="3" w:tplc="E0AA5AE2">
      <w:numFmt w:val="bullet"/>
      <w:lvlText w:val="•"/>
      <w:lvlJc w:val="left"/>
      <w:pPr>
        <w:ind w:left="3411" w:hanging="363"/>
      </w:pPr>
      <w:rPr>
        <w:rFonts w:hint="default"/>
      </w:rPr>
    </w:lvl>
    <w:lvl w:ilvl="4" w:tplc="E480948C">
      <w:numFmt w:val="bullet"/>
      <w:lvlText w:val="•"/>
      <w:lvlJc w:val="left"/>
      <w:pPr>
        <w:ind w:left="4277" w:hanging="363"/>
      </w:pPr>
      <w:rPr>
        <w:rFonts w:hint="default"/>
      </w:rPr>
    </w:lvl>
    <w:lvl w:ilvl="5" w:tplc="25A6A66A">
      <w:numFmt w:val="bullet"/>
      <w:lvlText w:val="•"/>
      <w:lvlJc w:val="left"/>
      <w:pPr>
        <w:ind w:left="5142" w:hanging="363"/>
      </w:pPr>
      <w:rPr>
        <w:rFonts w:hint="default"/>
      </w:rPr>
    </w:lvl>
    <w:lvl w:ilvl="6" w:tplc="DAA2075C">
      <w:numFmt w:val="bullet"/>
      <w:lvlText w:val="•"/>
      <w:lvlJc w:val="left"/>
      <w:pPr>
        <w:ind w:left="6008" w:hanging="363"/>
      </w:pPr>
      <w:rPr>
        <w:rFonts w:hint="default"/>
      </w:rPr>
    </w:lvl>
    <w:lvl w:ilvl="7" w:tplc="B9E65A42">
      <w:numFmt w:val="bullet"/>
      <w:lvlText w:val="•"/>
      <w:lvlJc w:val="left"/>
      <w:pPr>
        <w:ind w:left="6874" w:hanging="363"/>
      </w:pPr>
      <w:rPr>
        <w:rFonts w:hint="default"/>
      </w:rPr>
    </w:lvl>
    <w:lvl w:ilvl="8" w:tplc="17C6784E">
      <w:numFmt w:val="bullet"/>
      <w:lvlText w:val="•"/>
      <w:lvlJc w:val="left"/>
      <w:pPr>
        <w:ind w:left="7739" w:hanging="363"/>
      </w:pPr>
      <w:rPr>
        <w:rFonts w:hint="default"/>
      </w:rPr>
    </w:lvl>
  </w:abstractNum>
  <w:abstractNum w:abstractNumId="3"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D86361"/>
    <w:multiLevelType w:val="hybridMultilevel"/>
    <w:tmpl w:val="F1586574"/>
    <w:lvl w:ilvl="0" w:tplc="982C42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D37508"/>
    <w:multiLevelType w:val="hybridMultilevel"/>
    <w:tmpl w:val="C78CFCC6"/>
    <w:lvl w:ilvl="0" w:tplc="66007820">
      <w:start w:val="1"/>
      <w:numFmt w:val="decimal"/>
      <w:lvlText w:val="%1."/>
      <w:lvlJc w:val="left"/>
      <w:pPr>
        <w:ind w:left="502" w:hanging="360"/>
      </w:pPr>
      <w:rPr>
        <w:rFonts w:eastAsiaTheme="minorHAnsi" w:hAnsiTheme="minorHAnsi" w:cstheme="minorBid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6C9B56FB"/>
    <w:multiLevelType w:val="hybridMultilevel"/>
    <w:tmpl w:val="9E661E7A"/>
    <w:lvl w:ilvl="0" w:tplc="8ABCE23C">
      <w:start w:val="1"/>
      <w:numFmt w:val="lowerLetter"/>
      <w:lvlText w:val="%1."/>
      <w:lvlJc w:val="left"/>
      <w:pPr>
        <w:ind w:left="720" w:hanging="360"/>
      </w:pPr>
      <w:rPr>
        <w:rFonts w:ascii="Arial" w:eastAsiaTheme="minorHAnsi" w:hAnsi="Arial" w:cs="Arial"/>
      </w:rPr>
    </w:lvl>
    <w:lvl w:ilvl="1" w:tplc="97A8A45C">
      <w:start w:val="1"/>
      <w:numFmt w:val="lowerLetter"/>
      <w:lvlText w:val="%2."/>
      <w:lvlJc w:val="left"/>
      <w:pPr>
        <w:ind w:left="644" w:hanging="360"/>
      </w:pPr>
      <w:rPr>
        <w:rFonts w:ascii="Arial" w:eastAsiaTheme="minorHAns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80214"/>
    <w:multiLevelType w:val="hybridMultilevel"/>
    <w:tmpl w:val="DF4E3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B76F47"/>
    <w:multiLevelType w:val="multilevel"/>
    <w:tmpl w:val="08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05273381">
    <w:abstractNumId w:val="3"/>
  </w:num>
  <w:num w:numId="2" w16cid:durableId="1278560599">
    <w:abstractNumId w:val="0"/>
  </w:num>
  <w:num w:numId="3" w16cid:durableId="1618222411">
    <w:abstractNumId w:val="6"/>
  </w:num>
  <w:num w:numId="4" w16cid:durableId="1323583709">
    <w:abstractNumId w:val="5"/>
  </w:num>
  <w:num w:numId="5" w16cid:durableId="1060127741">
    <w:abstractNumId w:val="7"/>
  </w:num>
  <w:num w:numId="6" w16cid:durableId="1738820836">
    <w:abstractNumId w:val="8"/>
  </w:num>
  <w:num w:numId="7" w16cid:durableId="1878619247">
    <w:abstractNumId w:val="2"/>
  </w:num>
  <w:num w:numId="8" w16cid:durableId="2121757843">
    <w:abstractNumId w:val="1"/>
  </w:num>
  <w:num w:numId="9" w16cid:durableId="80370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31"/>
    <w:rsid w:val="00005D5C"/>
    <w:rsid w:val="00010282"/>
    <w:rsid w:val="00017D1D"/>
    <w:rsid w:val="000C38F5"/>
    <w:rsid w:val="001A373A"/>
    <w:rsid w:val="001D4A22"/>
    <w:rsid w:val="001E7A35"/>
    <w:rsid w:val="001F3FB4"/>
    <w:rsid w:val="00202AB4"/>
    <w:rsid w:val="00256B8B"/>
    <w:rsid w:val="00350417"/>
    <w:rsid w:val="0036280D"/>
    <w:rsid w:val="003919E0"/>
    <w:rsid w:val="00457C4B"/>
    <w:rsid w:val="004A0C3E"/>
    <w:rsid w:val="005022BC"/>
    <w:rsid w:val="00504C0D"/>
    <w:rsid w:val="00582754"/>
    <w:rsid w:val="005E3D27"/>
    <w:rsid w:val="00614446"/>
    <w:rsid w:val="00614E8C"/>
    <w:rsid w:val="00624ABC"/>
    <w:rsid w:val="00646E78"/>
    <w:rsid w:val="00676313"/>
    <w:rsid w:val="006C7431"/>
    <w:rsid w:val="00711C75"/>
    <w:rsid w:val="008679C8"/>
    <w:rsid w:val="008832E3"/>
    <w:rsid w:val="008B3866"/>
    <w:rsid w:val="008D5548"/>
    <w:rsid w:val="00910B46"/>
    <w:rsid w:val="0091783F"/>
    <w:rsid w:val="0099743F"/>
    <w:rsid w:val="009D47DC"/>
    <w:rsid w:val="009E0205"/>
    <w:rsid w:val="00A15713"/>
    <w:rsid w:val="00A2455A"/>
    <w:rsid w:val="00AB4137"/>
    <w:rsid w:val="00B86E25"/>
    <w:rsid w:val="00C06C2B"/>
    <w:rsid w:val="00C43240"/>
    <w:rsid w:val="00CB11FC"/>
    <w:rsid w:val="00CB23AD"/>
    <w:rsid w:val="00CB266D"/>
    <w:rsid w:val="00D32396"/>
    <w:rsid w:val="00DD715D"/>
    <w:rsid w:val="00E04EEA"/>
    <w:rsid w:val="00E239F5"/>
    <w:rsid w:val="00E77AA3"/>
    <w:rsid w:val="00E85273"/>
    <w:rsid w:val="00EB7A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1B03"/>
  <w15:docId w15:val="{468B36ED-8B37-4992-8746-9DDD06FD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6E"/>
    <w:pPr>
      <w:widowControl/>
    </w:pPr>
    <w:rPr>
      <w:rFonts w:ascii="Plantin" w:eastAsia="Times New Roman" w:hAnsi="Plantin" w:cs="Times New Roman"/>
      <w:lang w:eastAsia="en-US"/>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tabs>
        <w:tab w:val="center" w:pos="4320"/>
        <w:tab w:val="right" w:pos="8640"/>
      </w:tabs>
    </w:pPr>
    <w:rPr>
      <w:rFonts w:asciiTheme="minorHAnsi" w:eastAsiaTheme="minorEastAsia" w:hAnsiTheme="minorHAnsi" w:cstheme="minorBidi"/>
      <w:snapToGrid w:val="0"/>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tabs>
        <w:tab w:val="center" w:pos="4320"/>
        <w:tab w:val="right" w:pos="8640"/>
      </w:tabs>
    </w:pPr>
    <w:rPr>
      <w:rFonts w:asciiTheme="minorHAnsi" w:eastAsiaTheme="minorEastAsia" w:hAnsiTheme="minorHAnsi" w:cstheme="minorBidi"/>
      <w:snapToGrid w:val="0"/>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rPr>
      <w:rFonts w:ascii="Lucida Grande" w:eastAsiaTheme="minorEastAsia" w:hAnsi="Lucida Grande" w:cs="Lucida Grande"/>
      <w:snapToGrid w:val="0"/>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1"/>
    <w:qFormat/>
    <w:rsid w:val="00980F8B"/>
    <w:pPr>
      <w:numPr>
        <w:numId w:val="1"/>
      </w:numPr>
      <w:ind w:left="284" w:hanging="142"/>
      <w:contextualSpacing/>
    </w:pPr>
  </w:style>
  <w:style w:type="paragraph" w:styleId="NormalWeb">
    <w:name w:val="Normal (Web)"/>
    <w:basedOn w:val="Normal"/>
    <w:uiPriority w:val="99"/>
    <w:unhideWhenUsed/>
    <w:rsid w:val="00AC4AF0"/>
    <w:pPr>
      <w:spacing w:before="100" w:beforeAutospacing="1" w:after="100" w:afterAutospacing="1"/>
    </w:pPr>
    <w:rPr>
      <w:rFonts w:ascii="Times" w:eastAsiaTheme="minorEastAsia" w:hAnsi="Times"/>
      <w:snapToGrid w:val="0"/>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table" w:styleId="TableGridLight">
    <w:name w:val="Grid Table Light"/>
    <w:basedOn w:val="TableNormal"/>
    <w:uiPriority w:val="40"/>
    <w:rsid w:val="00C06C2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EB7A6E"/>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EB7A6E"/>
    <w:rPr>
      <w:sz w:val="22"/>
      <w:szCs w:val="22"/>
      <w:lang w:val="en-US" w:eastAsia="en-US"/>
    </w:rPr>
  </w:style>
  <w:style w:type="paragraph" w:styleId="BodyText3">
    <w:name w:val="Body Text 3"/>
    <w:basedOn w:val="Normal"/>
    <w:link w:val="BodyText3Char"/>
    <w:uiPriority w:val="99"/>
    <w:unhideWhenUsed/>
    <w:rsid w:val="00EB7A6E"/>
    <w:pPr>
      <w:spacing w:after="120"/>
    </w:pPr>
    <w:rPr>
      <w:sz w:val="16"/>
      <w:szCs w:val="16"/>
    </w:rPr>
  </w:style>
  <w:style w:type="character" w:customStyle="1" w:styleId="BodyText3Char">
    <w:name w:val="Body Text 3 Char"/>
    <w:basedOn w:val="DefaultParagraphFont"/>
    <w:link w:val="BodyText3"/>
    <w:uiPriority w:val="99"/>
    <w:rsid w:val="00EB7A6E"/>
    <w:rPr>
      <w:rFonts w:ascii="Plantin" w:eastAsia="Times New Roman" w:hAnsi="Plantin" w:cs="Times New Roman"/>
      <w:sz w:val="16"/>
      <w:szCs w:val="16"/>
      <w:lang w:eastAsia="en-U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1"/>
    <w:qFormat/>
    <w:locked/>
    <w:rsid w:val="00EB7A6E"/>
    <w:rPr>
      <w:rFonts w:eastAsia="Times New Roman"/>
      <w:snapToGrid w:val="0"/>
      <w:szCs w:val="20"/>
    </w:rPr>
  </w:style>
  <w:style w:type="character" w:styleId="Strong">
    <w:name w:val="Strong"/>
    <w:basedOn w:val="DefaultParagraphFont"/>
    <w:uiPriority w:val="22"/>
    <w:qFormat/>
    <w:rsid w:val="00EB7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ezl\Downloads\Word%20document%20template%20without%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813A01-3ED5-43EE-85CA-554CACC6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without cover sheet.dotx</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 Velez</dc:creator>
  <cp:lastModifiedBy>Athena Barrett</cp:lastModifiedBy>
  <cp:revision>2</cp:revision>
  <dcterms:created xsi:type="dcterms:W3CDTF">2022-05-12T12:26:00Z</dcterms:created>
  <dcterms:modified xsi:type="dcterms:W3CDTF">2022-05-12T12:26:00Z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